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4A" w:rsidRPr="0006754A" w:rsidRDefault="0006754A" w:rsidP="0006754A">
      <w:pPr>
        <w:spacing w:line="600" w:lineRule="atLeast"/>
        <w:outlineLvl w:val="0"/>
        <w:rPr>
          <w:rFonts w:ascii="Arial" w:eastAsia="Times New Roman" w:hAnsi="Arial" w:cs="Arial"/>
          <w:color w:val="52AD08"/>
          <w:kern w:val="36"/>
          <w:sz w:val="57"/>
          <w:szCs w:val="57"/>
          <w:lang w:val="en-US" w:eastAsia="ru-RU"/>
        </w:rPr>
      </w:pPr>
      <w:r w:rsidRPr="0006754A">
        <w:rPr>
          <w:rFonts w:ascii="Arial" w:eastAsia="Times New Roman" w:hAnsi="Arial" w:cs="Arial"/>
          <w:color w:val="52AD08"/>
          <w:kern w:val="36"/>
          <w:sz w:val="57"/>
          <w:szCs w:val="57"/>
          <w:lang w:val="en-US" w:eastAsia="ru-RU"/>
        </w:rPr>
        <w:t xml:space="preserve">Marie </w:t>
      </w:r>
      <w:proofErr w:type="spellStart"/>
      <w:r w:rsidRPr="0006754A">
        <w:rPr>
          <w:rFonts w:ascii="Arial" w:eastAsia="Times New Roman" w:hAnsi="Arial" w:cs="Arial"/>
          <w:color w:val="52AD08"/>
          <w:kern w:val="36"/>
          <w:sz w:val="57"/>
          <w:szCs w:val="57"/>
          <w:lang w:val="en-US" w:eastAsia="ru-RU"/>
        </w:rPr>
        <w:t>Sklodowska</w:t>
      </w:r>
      <w:proofErr w:type="spellEnd"/>
      <w:r w:rsidRPr="0006754A">
        <w:rPr>
          <w:rFonts w:ascii="Arial" w:eastAsia="Times New Roman" w:hAnsi="Arial" w:cs="Arial"/>
          <w:color w:val="52AD08"/>
          <w:kern w:val="36"/>
          <w:sz w:val="57"/>
          <w:szCs w:val="57"/>
          <w:lang w:val="en-US" w:eastAsia="ru-RU"/>
        </w:rPr>
        <w:t>-Curie actions</w:t>
      </w:r>
    </w:p>
    <w:p w:rsidR="0006754A" w:rsidRPr="0006754A" w:rsidRDefault="0006754A" w:rsidP="0006754A">
      <w:pPr>
        <w:spacing w:after="0" w:line="300" w:lineRule="atLeast"/>
        <w:rPr>
          <w:rFonts w:ascii="Arial" w:eastAsia="Times New Roman" w:hAnsi="Arial" w:cs="Arial"/>
          <w:b/>
          <w:bCs/>
          <w:color w:val="002442"/>
          <w:sz w:val="20"/>
          <w:szCs w:val="20"/>
          <w:lang w:val="en-US" w:eastAsia="ru-RU"/>
        </w:rPr>
      </w:pPr>
      <w:r w:rsidRPr="0006754A">
        <w:rPr>
          <w:rFonts w:ascii="Arial" w:eastAsia="Times New Roman" w:hAnsi="Arial" w:cs="Arial"/>
          <w:b/>
          <w:bCs/>
          <w:color w:val="002442"/>
          <w:sz w:val="20"/>
          <w:szCs w:val="20"/>
          <w:lang w:val="en-US" w:eastAsia="ru-RU"/>
        </w:rPr>
        <w:t xml:space="preserve">Marie </w:t>
      </w:r>
      <w:proofErr w:type="spellStart"/>
      <w:r w:rsidRPr="0006754A">
        <w:rPr>
          <w:rFonts w:ascii="Arial" w:eastAsia="Times New Roman" w:hAnsi="Arial" w:cs="Arial"/>
          <w:b/>
          <w:bCs/>
          <w:color w:val="002442"/>
          <w:sz w:val="20"/>
          <w:szCs w:val="20"/>
          <w:lang w:val="en-US" w:eastAsia="ru-RU"/>
        </w:rPr>
        <w:t>Skłodowska</w:t>
      </w:r>
      <w:proofErr w:type="spellEnd"/>
      <w:r w:rsidRPr="0006754A">
        <w:rPr>
          <w:rFonts w:ascii="Arial" w:eastAsia="Times New Roman" w:hAnsi="Arial" w:cs="Arial"/>
          <w:b/>
          <w:bCs/>
          <w:color w:val="002442"/>
          <w:sz w:val="20"/>
          <w:szCs w:val="20"/>
          <w:lang w:val="en-US" w:eastAsia="ru-RU"/>
        </w:rPr>
        <w:t>-Curie actions (MSCA)</w:t>
      </w:r>
    </w:p>
    <w:p w:rsidR="0006754A" w:rsidRPr="0006754A" w:rsidRDefault="0006754A" w:rsidP="0006754A">
      <w:pPr>
        <w:spacing w:after="150" w:line="315" w:lineRule="atLeast"/>
        <w:outlineLvl w:val="4"/>
        <w:rPr>
          <w:rFonts w:ascii="Arial" w:eastAsia="Times New Roman" w:hAnsi="Arial" w:cs="Arial"/>
          <w:b/>
          <w:bCs/>
          <w:color w:val="FF6600"/>
          <w:sz w:val="24"/>
          <w:szCs w:val="24"/>
          <w:lang w:val="en-US" w:eastAsia="ru-RU"/>
        </w:rPr>
      </w:pPr>
      <w:r w:rsidRPr="0006754A">
        <w:rPr>
          <w:rFonts w:ascii="Arial" w:eastAsia="Times New Roman" w:hAnsi="Arial" w:cs="Arial"/>
          <w:b/>
          <w:bCs/>
          <w:color w:val="FF6600"/>
          <w:sz w:val="24"/>
          <w:szCs w:val="24"/>
          <w:lang w:val="en-US" w:eastAsia="ru-RU"/>
        </w:rPr>
        <w:t xml:space="preserve">The Marie </w:t>
      </w:r>
      <w:proofErr w:type="spellStart"/>
      <w:r w:rsidRPr="0006754A">
        <w:rPr>
          <w:rFonts w:ascii="Arial" w:eastAsia="Times New Roman" w:hAnsi="Arial" w:cs="Arial"/>
          <w:b/>
          <w:bCs/>
          <w:color w:val="FF6600"/>
          <w:sz w:val="24"/>
          <w:szCs w:val="24"/>
          <w:lang w:val="en-US" w:eastAsia="ru-RU"/>
        </w:rPr>
        <w:t>Skłodowska</w:t>
      </w:r>
      <w:proofErr w:type="spellEnd"/>
      <w:r w:rsidRPr="0006754A">
        <w:rPr>
          <w:rFonts w:ascii="Arial" w:eastAsia="Times New Roman" w:hAnsi="Arial" w:cs="Arial"/>
          <w:b/>
          <w:bCs/>
          <w:color w:val="FF6600"/>
          <w:sz w:val="24"/>
          <w:szCs w:val="24"/>
          <w:lang w:val="en-US" w:eastAsia="ru-RU"/>
        </w:rPr>
        <w:t>-Curie actions (MSCA)</w:t>
      </w:r>
    </w:p>
    <w:p w:rsidR="0006754A" w:rsidRPr="0006754A" w:rsidRDefault="0006754A" w:rsidP="0006754A">
      <w:pPr>
        <w:spacing w:after="150" w:line="240" w:lineRule="auto"/>
        <w:jc w:val="both"/>
        <w:rPr>
          <w:rFonts w:ascii="Arial" w:eastAsia="Times New Roman" w:hAnsi="Arial" w:cs="Arial"/>
          <w:color w:val="002442"/>
          <w:sz w:val="21"/>
          <w:szCs w:val="21"/>
          <w:lang w:val="en-US" w:eastAsia="ru-RU"/>
        </w:rPr>
      </w:pPr>
      <w:proofErr w:type="gramStart"/>
      <w:r w:rsidRPr="0006754A">
        <w:rPr>
          <w:rFonts w:ascii="Arial" w:eastAsia="Times New Roman" w:hAnsi="Arial" w:cs="Arial"/>
          <w:color w:val="002442"/>
          <w:sz w:val="21"/>
          <w:szCs w:val="21"/>
          <w:lang w:val="en-US" w:eastAsia="ru-RU"/>
        </w:rPr>
        <w:t>provide</w:t>
      </w:r>
      <w:proofErr w:type="gramEnd"/>
      <w:r w:rsidRPr="0006754A">
        <w:rPr>
          <w:rFonts w:ascii="Arial" w:eastAsia="Times New Roman" w:hAnsi="Arial" w:cs="Arial"/>
          <w:color w:val="002442"/>
          <w:sz w:val="21"/>
          <w:szCs w:val="21"/>
          <w:lang w:val="en-US" w:eastAsia="ru-RU"/>
        </w:rPr>
        <w:t xml:space="preserve"> grants for all stages of researchers’ careers – be they doctoral candidates or highly experienced researchers – and encourage transnational, </w:t>
      </w:r>
      <w:proofErr w:type="spellStart"/>
      <w:r w:rsidRPr="0006754A">
        <w:rPr>
          <w:rFonts w:ascii="Arial" w:eastAsia="Times New Roman" w:hAnsi="Arial" w:cs="Arial"/>
          <w:color w:val="002442"/>
          <w:sz w:val="21"/>
          <w:szCs w:val="21"/>
          <w:lang w:val="en-US" w:eastAsia="ru-RU"/>
        </w:rPr>
        <w:t>intersectoral</w:t>
      </w:r>
      <w:proofErr w:type="spellEnd"/>
      <w:r w:rsidRPr="0006754A">
        <w:rPr>
          <w:rFonts w:ascii="Arial" w:eastAsia="Times New Roman" w:hAnsi="Arial" w:cs="Arial"/>
          <w:color w:val="002442"/>
          <w:sz w:val="21"/>
          <w:szCs w:val="21"/>
          <w:lang w:val="en-US" w:eastAsia="ru-RU"/>
        </w:rPr>
        <w:t xml:space="preserve"> and interdisciplinary mobility. The MSCA enable research-focused </w:t>
      </w:r>
      <w:proofErr w:type="spellStart"/>
      <w:r w:rsidRPr="0006754A">
        <w:rPr>
          <w:rFonts w:ascii="Arial" w:eastAsia="Times New Roman" w:hAnsi="Arial" w:cs="Arial"/>
          <w:color w:val="002442"/>
          <w:sz w:val="21"/>
          <w:szCs w:val="21"/>
          <w:lang w:val="en-US" w:eastAsia="ru-RU"/>
        </w:rPr>
        <w:t>organisations</w:t>
      </w:r>
      <w:proofErr w:type="spellEnd"/>
      <w:r w:rsidRPr="0006754A">
        <w:rPr>
          <w:rFonts w:ascii="Arial" w:eastAsia="Times New Roman" w:hAnsi="Arial" w:cs="Arial"/>
          <w:color w:val="002442"/>
          <w:sz w:val="21"/>
          <w:szCs w:val="21"/>
          <w:lang w:val="en-US" w:eastAsia="ru-RU"/>
        </w:rPr>
        <w:t xml:space="preserve"> (universities, research </w:t>
      </w:r>
      <w:proofErr w:type="spellStart"/>
      <w:r w:rsidRPr="0006754A">
        <w:rPr>
          <w:rFonts w:ascii="Arial" w:eastAsia="Times New Roman" w:hAnsi="Arial" w:cs="Arial"/>
          <w:color w:val="002442"/>
          <w:sz w:val="21"/>
          <w:szCs w:val="21"/>
          <w:lang w:val="en-US" w:eastAsia="ru-RU"/>
        </w:rPr>
        <w:t>centres</w:t>
      </w:r>
      <w:proofErr w:type="spellEnd"/>
      <w:r w:rsidRPr="0006754A">
        <w:rPr>
          <w:rFonts w:ascii="Arial" w:eastAsia="Times New Roman" w:hAnsi="Arial" w:cs="Arial"/>
          <w:color w:val="002442"/>
          <w:sz w:val="21"/>
          <w:szCs w:val="21"/>
          <w:lang w:val="en-US" w:eastAsia="ru-RU"/>
        </w:rPr>
        <w:t>, and companies) to host talented foreign researchers and to create strategic partnerships with leading institutions worldwide.</w:t>
      </w:r>
    </w:p>
    <w:p w:rsidR="0006754A" w:rsidRPr="0006754A" w:rsidRDefault="0006754A" w:rsidP="0006754A">
      <w:pPr>
        <w:spacing w:after="150" w:line="240" w:lineRule="auto"/>
        <w:jc w:val="both"/>
        <w:rPr>
          <w:rFonts w:ascii="Arial" w:eastAsia="Times New Roman" w:hAnsi="Arial" w:cs="Arial"/>
          <w:color w:val="002442"/>
          <w:sz w:val="21"/>
          <w:szCs w:val="21"/>
          <w:lang w:val="en-US" w:eastAsia="ru-RU"/>
        </w:rPr>
      </w:pPr>
      <w:proofErr w:type="gramStart"/>
      <w:r w:rsidRPr="0006754A">
        <w:rPr>
          <w:rFonts w:ascii="Arial" w:eastAsia="Times New Roman" w:hAnsi="Arial" w:cs="Arial"/>
          <w:color w:val="002442"/>
          <w:sz w:val="21"/>
          <w:szCs w:val="21"/>
          <w:lang w:val="en-US" w:eastAsia="ru-RU"/>
        </w:rPr>
        <w:t>The MSCA aim to equip researchers with the necessary skills and international experience for a successful career, either in the public or the private sector.</w:t>
      </w:r>
      <w:proofErr w:type="gramEnd"/>
      <w:r w:rsidRPr="0006754A">
        <w:rPr>
          <w:rFonts w:ascii="Arial" w:eastAsia="Times New Roman" w:hAnsi="Arial" w:cs="Arial"/>
          <w:color w:val="002442"/>
          <w:sz w:val="21"/>
          <w:szCs w:val="21"/>
          <w:lang w:val="en-US" w:eastAsia="ru-RU"/>
        </w:rPr>
        <w:t xml:space="preserve"> The </w:t>
      </w:r>
      <w:proofErr w:type="spellStart"/>
      <w:r w:rsidRPr="0006754A">
        <w:rPr>
          <w:rFonts w:ascii="Arial" w:eastAsia="Times New Roman" w:hAnsi="Arial" w:cs="Arial"/>
          <w:color w:val="002442"/>
          <w:sz w:val="21"/>
          <w:szCs w:val="21"/>
          <w:lang w:val="en-US" w:eastAsia="ru-RU"/>
        </w:rPr>
        <w:t>programme</w:t>
      </w:r>
      <w:proofErr w:type="spellEnd"/>
      <w:r w:rsidRPr="0006754A">
        <w:rPr>
          <w:rFonts w:ascii="Arial" w:eastAsia="Times New Roman" w:hAnsi="Arial" w:cs="Arial"/>
          <w:color w:val="002442"/>
          <w:sz w:val="21"/>
          <w:szCs w:val="21"/>
          <w:lang w:val="en-US" w:eastAsia="ru-RU"/>
        </w:rPr>
        <w:t xml:space="preserve"> responds to the challenges sometimes faced by researchers, offering them attractive working conditions and the opportunity to move between academic and other settings.</w:t>
      </w:r>
    </w:p>
    <w:p w:rsidR="0006754A" w:rsidRPr="0006754A" w:rsidRDefault="0006754A" w:rsidP="0006754A">
      <w:pPr>
        <w:spacing w:line="240" w:lineRule="auto"/>
        <w:jc w:val="both"/>
        <w:rPr>
          <w:rFonts w:ascii="Arial" w:eastAsia="Times New Roman" w:hAnsi="Arial" w:cs="Arial"/>
          <w:color w:val="002442"/>
          <w:sz w:val="21"/>
          <w:szCs w:val="21"/>
          <w:lang w:val="en-US" w:eastAsia="ru-RU"/>
        </w:rPr>
      </w:pPr>
      <w:r w:rsidRPr="0006754A">
        <w:rPr>
          <w:rFonts w:ascii="Arial" w:eastAsia="Times New Roman" w:hAnsi="Arial" w:cs="Arial"/>
          <w:color w:val="002442"/>
          <w:sz w:val="21"/>
          <w:szCs w:val="21"/>
          <w:lang w:val="en-US" w:eastAsia="ru-RU"/>
        </w:rPr>
        <w:t xml:space="preserve">The MSCA are open to all domains of research and innovation, from fundamental research to market take-up and innovation services. Research and innovation fields are chosen freely by the applicants (individuals and/or </w:t>
      </w:r>
      <w:proofErr w:type="spellStart"/>
      <w:r w:rsidRPr="0006754A">
        <w:rPr>
          <w:rFonts w:ascii="Arial" w:eastAsia="Times New Roman" w:hAnsi="Arial" w:cs="Arial"/>
          <w:color w:val="002442"/>
          <w:sz w:val="21"/>
          <w:szCs w:val="21"/>
          <w:lang w:val="en-US" w:eastAsia="ru-RU"/>
        </w:rPr>
        <w:t>organisations</w:t>
      </w:r>
      <w:proofErr w:type="spellEnd"/>
      <w:r w:rsidRPr="0006754A">
        <w:rPr>
          <w:rFonts w:ascii="Arial" w:eastAsia="Times New Roman" w:hAnsi="Arial" w:cs="Arial"/>
          <w:color w:val="002442"/>
          <w:sz w:val="21"/>
          <w:szCs w:val="21"/>
          <w:lang w:val="en-US" w:eastAsia="ru-RU"/>
        </w:rPr>
        <w:t>) in a fully ‘bottom-up’ manner.</w:t>
      </w:r>
    </w:p>
    <w:p w:rsidR="0006754A" w:rsidRPr="0006754A" w:rsidRDefault="0006754A" w:rsidP="0006754A">
      <w:pPr>
        <w:spacing w:after="0" w:line="300" w:lineRule="atLeast"/>
        <w:rPr>
          <w:rFonts w:ascii="Arial" w:eastAsia="Times New Roman" w:hAnsi="Arial" w:cs="Arial"/>
          <w:b/>
          <w:bCs/>
          <w:color w:val="002442"/>
          <w:sz w:val="20"/>
          <w:szCs w:val="20"/>
          <w:lang w:val="en-US" w:eastAsia="ru-RU"/>
        </w:rPr>
      </w:pPr>
      <w:r w:rsidRPr="0006754A">
        <w:rPr>
          <w:rFonts w:ascii="Arial" w:eastAsia="Times New Roman" w:hAnsi="Arial" w:cs="Arial"/>
          <w:b/>
          <w:bCs/>
          <w:color w:val="002442"/>
          <w:sz w:val="20"/>
          <w:szCs w:val="20"/>
          <w:lang w:val="en-US" w:eastAsia="ru-RU"/>
        </w:rPr>
        <w:t xml:space="preserve">How to apply for Marie </w:t>
      </w:r>
      <w:proofErr w:type="spellStart"/>
      <w:r w:rsidRPr="0006754A">
        <w:rPr>
          <w:rFonts w:ascii="Arial" w:eastAsia="Times New Roman" w:hAnsi="Arial" w:cs="Arial"/>
          <w:b/>
          <w:bCs/>
          <w:color w:val="002442"/>
          <w:sz w:val="20"/>
          <w:szCs w:val="20"/>
          <w:lang w:val="en-US" w:eastAsia="ru-RU"/>
        </w:rPr>
        <w:t>Skłodowska</w:t>
      </w:r>
      <w:proofErr w:type="spellEnd"/>
      <w:r w:rsidRPr="0006754A">
        <w:rPr>
          <w:rFonts w:ascii="Arial" w:eastAsia="Times New Roman" w:hAnsi="Arial" w:cs="Arial"/>
          <w:b/>
          <w:bCs/>
          <w:color w:val="002442"/>
          <w:sz w:val="20"/>
          <w:szCs w:val="20"/>
          <w:lang w:val="en-US" w:eastAsia="ru-RU"/>
        </w:rPr>
        <w:t xml:space="preserve">-Curie actions research fellowship </w:t>
      </w:r>
      <w:proofErr w:type="spellStart"/>
      <w:r w:rsidRPr="0006754A">
        <w:rPr>
          <w:rFonts w:ascii="Arial" w:eastAsia="Times New Roman" w:hAnsi="Arial" w:cs="Arial"/>
          <w:b/>
          <w:bCs/>
          <w:color w:val="002442"/>
          <w:sz w:val="20"/>
          <w:szCs w:val="20"/>
          <w:lang w:val="en-US" w:eastAsia="ru-RU"/>
        </w:rPr>
        <w:t>programme</w:t>
      </w:r>
      <w:proofErr w:type="spellEnd"/>
    </w:p>
    <w:p w:rsidR="0006754A" w:rsidRPr="0006754A" w:rsidRDefault="0006754A" w:rsidP="0006754A">
      <w:pPr>
        <w:spacing w:line="240" w:lineRule="auto"/>
        <w:rPr>
          <w:rFonts w:ascii="Arial" w:eastAsia="Times New Roman" w:hAnsi="Arial" w:cs="Arial"/>
          <w:color w:val="002442"/>
          <w:sz w:val="21"/>
          <w:szCs w:val="21"/>
          <w:lang w:val="en-US" w:eastAsia="ru-RU"/>
        </w:rPr>
      </w:pPr>
      <w:r w:rsidRPr="0006754A">
        <w:rPr>
          <w:rFonts w:ascii="Arial" w:eastAsia="Times New Roman" w:hAnsi="Arial" w:cs="Arial"/>
          <w:color w:val="002442"/>
          <w:sz w:val="21"/>
          <w:szCs w:val="21"/>
          <w:lang w:val="en-US" w:eastAsia="ru-RU"/>
        </w:rPr>
        <w:t xml:space="preserve">Funding decisions for Marie </w:t>
      </w:r>
      <w:proofErr w:type="spellStart"/>
      <w:r w:rsidRPr="0006754A">
        <w:rPr>
          <w:rFonts w:ascii="Arial" w:eastAsia="Times New Roman" w:hAnsi="Arial" w:cs="Arial"/>
          <w:color w:val="002442"/>
          <w:sz w:val="21"/>
          <w:szCs w:val="21"/>
          <w:lang w:val="en-US" w:eastAsia="ru-RU"/>
        </w:rPr>
        <w:t>Skłodowska</w:t>
      </w:r>
      <w:proofErr w:type="spellEnd"/>
      <w:r w:rsidRPr="0006754A">
        <w:rPr>
          <w:rFonts w:ascii="Arial" w:eastAsia="Times New Roman" w:hAnsi="Arial" w:cs="Arial"/>
          <w:color w:val="002442"/>
          <w:sz w:val="21"/>
          <w:szCs w:val="21"/>
          <w:lang w:val="en-US" w:eastAsia="ru-RU"/>
        </w:rPr>
        <w:t>-Curie actions are made on the basis of proposals submitted following calls published on </w:t>
      </w:r>
      <w:hyperlink r:id="rId5" w:history="1">
        <w:r w:rsidRPr="0006754A">
          <w:rPr>
            <w:rFonts w:ascii="Arial" w:eastAsia="Times New Roman" w:hAnsi="Arial" w:cs="Arial"/>
            <w:b/>
            <w:bCs/>
            <w:color w:val="1E73BE"/>
            <w:sz w:val="21"/>
            <w:szCs w:val="21"/>
            <w:lang w:val="en-US" w:eastAsia="ru-RU"/>
          </w:rPr>
          <w:t>Participants portal</w:t>
        </w:r>
      </w:hyperlink>
      <w:r w:rsidRPr="0006754A">
        <w:rPr>
          <w:rFonts w:ascii="Arial" w:eastAsia="Times New Roman" w:hAnsi="Arial" w:cs="Arial"/>
          <w:color w:val="002442"/>
          <w:sz w:val="21"/>
          <w:szCs w:val="21"/>
          <w:lang w:val="en-US" w:eastAsia="ru-RU"/>
        </w:rPr>
        <w:t xml:space="preserve">, your single-entry point for interactions with the research and innovation </w:t>
      </w:r>
      <w:proofErr w:type="spellStart"/>
      <w:r w:rsidRPr="0006754A">
        <w:rPr>
          <w:rFonts w:ascii="Arial" w:eastAsia="Times New Roman" w:hAnsi="Arial" w:cs="Arial"/>
          <w:color w:val="002442"/>
          <w:sz w:val="21"/>
          <w:szCs w:val="21"/>
          <w:lang w:val="en-US" w:eastAsia="ru-RU"/>
        </w:rPr>
        <w:t>programmes</w:t>
      </w:r>
      <w:proofErr w:type="spellEnd"/>
      <w:r w:rsidRPr="0006754A">
        <w:rPr>
          <w:rFonts w:ascii="Arial" w:eastAsia="Times New Roman" w:hAnsi="Arial" w:cs="Arial"/>
          <w:color w:val="002442"/>
          <w:sz w:val="21"/>
          <w:szCs w:val="21"/>
          <w:lang w:val="en-US" w:eastAsia="ru-RU"/>
        </w:rPr>
        <w:t xml:space="preserve"> of the </w:t>
      </w:r>
      <w:hyperlink r:id="rId6" w:history="1">
        <w:r w:rsidRPr="0006754A">
          <w:rPr>
            <w:rFonts w:ascii="Arial" w:eastAsia="Times New Roman" w:hAnsi="Arial" w:cs="Arial"/>
            <w:b/>
            <w:bCs/>
            <w:color w:val="1E73BE"/>
            <w:sz w:val="21"/>
            <w:szCs w:val="21"/>
            <w:lang w:val="en-US" w:eastAsia="ru-RU"/>
          </w:rPr>
          <w:t>European Commission</w:t>
        </w:r>
      </w:hyperlink>
      <w:r w:rsidRPr="0006754A">
        <w:rPr>
          <w:rFonts w:ascii="Arial" w:eastAsia="Times New Roman" w:hAnsi="Arial" w:cs="Arial"/>
          <w:color w:val="002442"/>
          <w:sz w:val="21"/>
          <w:szCs w:val="21"/>
          <w:lang w:val="en-US" w:eastAsia="ru-RU"/>
        </w:rPr>
        <w:t xml:space="preserve">. The sequence of steps is </w:t>
      </w:r>
      <w:proofErr w:type="spellStart"/>
      <w:r w:rsidRPr="0006754A">
        <w:rPr>
          <w:rFonts w:ascii="Arial" w:eastAsia="Times New Roman" w:hAnsi="Arial" w:cs="Arial"/>
          <w:color w:val="002442"/>
          <w:sz w:val="21"/>
          <w:szCs w:val="21"/>
          <w:lang w:val="en-US" w:eastAsia="ru-RU"/>
        </w:rPr>
        <w:t>summarised</w:t>
      </w:r>
      <w:proofErr w:type="spellEnd"/>
      <w:r w:rsidRPr="0006754A">
        <w:rPr>
          <w:rFonts w:ascii="Arial" w:eastAsia="Times New Roman" w:hAnsi="Arial" w:cs="Arial"/>
          <w:color w:val="002442"/>
          <w:sz w:val="21"/>
          <w:szCs w:val="21"/>
          <w:lang w:val="en-US" w:eastAsia="ru-RU"/>
        </w:rPr>
        <w:t xml:space="preserve"> below. Marie Curie Actions are implemented by </w:t>
      </w:r>
      <w:hyperlink r:id="rId7" w:history="1">
        <w:r w:rsidRPr="0006754A">
          <w:rPr>
            <w:rFonts w:ascii="Arial" w:eastAsia="Times New Roman" w:hAnsi="Arial" w:cs="Arial"/>
            <w:b/>
            <w:bCs/>
            <w:color w:val="1E73BE"/>
            <w:sz w:val="21"/>
            <w:szCs w:val="21"/>
            <w:lang w:val="en-US" w:eastAsia="ru-RU"/>
          </w:rPr>
          <w:t>Research Executive Agency (REA)</w:t>
        </w:r>
      </w:hyperlink>
      <w:r w:rsidRPr="0006754A">
        <w:rPr>
          <w:rFonts w:ascii="Arial" w:eastAsia="Times New Roman" w:hAnsi="Arial" w:cs="Arial"/>
          <w:color w:val="002442"/>
          <w:sz w:val="21"/>
          <w:szCs w:val="21"/>
          <w:lang w:val="en-US" w:eastAsia="ru-RU"/>
        </w:rPr>
        <w:t>.</w:t>
      </w:r>
    </w:p>
    <w:p w:rsidR="0006754A" w:rsidRPr="0006754A" w:rsidRDefault="0006754A" w:rsidP="0006754A">
      <w:pPr>
        <w:spacing w:after="0" w:line="300" w:lineRule="atLeast"/>
        <w:rPr>
          <w:rFonts w:ascii="Arial" w:eastAsia="Times New Roman" w:hAnsi="Arial" w:cs="Arial"/>
          <w:b/>
          <w:bCs/>
          <w:color w:val="002442"/>
          <w:sz w:val="20"/>
          <w:szCs w:val="20"/>
          <w:lang w:val="en-US" w:eastAsia="ru-RU"/>
        </w:rPr>
      </w:pPr>
      <w:r w:rsidRPr="0006754A">
        <w:rPr>
          <w:rFonts w:ascii="Arial" w:eastAsia="Times New Roman" w:hAnsi="Arial" w:cs="Arial"/>
          <w:b/>
          <w:bCs/>
          <w:color w:val="002442"/>
          <w:sz w:val="20"/>
          <w:szCs w:val="20"/>
          <w:lang w:val="en-US" w:eastAsia="ru-RU"/>
        </w:rPr>
        <w:t>1. Proposal preparation and electronic submission</w:t>
      </w:r>
    </w:p>
    <w:p w:rsidR="0006754A" w:rsidRPr="0006754A" w:rsidRDefault="0006754A" w:rsidP="0006754A">
      <w:pPr>
        <w:spacing w:after="0" w:line="240" w:lineRule="auto"/>
        <w:rPr>
          <w:rFonts w:ascii="Arial" w:eastAsia="Times New Roman" w:hAnsi="Arial" w:cs="Arial"/>
          <w:color w:val="002442"/>
          <w:sz w:val="21"/>
          <w:szCs w:val="21"/>
          <w:lang w:val="en-US" w:eastAsia="ru-RU"/>
        </w:rPr>
      </w:pPr>
      <w:r w:rsidRPr="0006754A">
        <w:rPr>
          <w:rFonts w:ascii="Arial" w:eastAsia="Times New Roman" w:hAnsi="Arial" w:cs="Arial"/>
          <w:color w:val="002442"/>
          <w:sz w:val="21"/>
          <w:szCs w:val="21"/>
          <w:lang w:val="en-US" w:eastAsia="ru-RU"/>
        </w:rPr>
        <w:t xml:space="preserve">You will find all information necessary to prepare and submit a proposal for a Marie </w:t>
      </w:r>
      <w:proofErr w:type="spellStart"/>
      <w:r w:rsidRPr="0006754A">
        <w:rPr>
          <w:rFonts w:ascii="Arial" w:eastAsia="Times New Roman" w:hAnsi="Arial" w:cs="Arial"/>
          <w:color w:val="002442"/>
          <w:sz w:val="21"/>
          <w:szCs w:val="21"/>
          <w:lang w:val="en-US" w:eastAsia="ru-RU"/>
        </w:rPr>
        <w:t>Skłodowska</w:t>
      </w:r>
      <w:proofErr w:type="spellEnd"/>
      <w:r w:rsidRPr="0006754A">
        <w:rPr>
          <w:rFonts w:ascii="Arial" w:eastAsia="Times New Roman" w:hAnsi="Arial" w:cs="Arial"/>
          <w:color w:val="002442"/>
          <w:sz w:val="21"/>
          <w:szCs w:val="21"/>
          <w:lang w:val="en-US" w:eastAsia="ru-RU"/>
        </w:rPr>
        <w:t>-Curie actions call on the call page of Participants portal.</w:t>
      </w:r>
    </w:p>
    <w:p w:rsidR="0006754A" w:rsidRPr="0006754A" w:rsidRDefault="0006754A" w:rsidP="0006754A">
      <w:pPr>
        <w:spacing w:after="150" w:line="240" w:lineRule="auto"/>
        <w:jc w:val="both"/>
        <w:rPr>
          <w:rFonts w:ascii="Arial" w:eastAsia="Times New Roman" w:hAnsi="Arial" w:cs="Arial"/>
          <w:color w:val="002442"/>
          <w:sz w:val="21"/>
          <w:szCs w:val="21"/>
          <w:lang w:val="en-US" w:eastAsia="ru-RU"/>
        </w:rPr>
      </w:pPr>
      <w:hyperlink r:id="rId8" w:history="1">
        <w:r w:rsidRPr="0006754A">
          <w:rPr>
            <w:rFonts w:ascii="Arial" w:eastAsia="Times New Roman" w:hAnsi="Arial" w:cs="Arial"/>
            <w:b/>
            <w:bCs/>
            <w:color w:val="1E73BE"/>
            <w:sz w:val="21"/>
            <w:szCs w:val="21"/>
            <w:lang w:val="en-US" w:eastAsia="ru-RU"/>
          </w:rPr>
          <w:t>The Participants portal</w:t>
        </w:r>
      </w:hyperlink>
      <w:r w:rsidRPr="0006754A">
        <w:rPr>
          <w:rFonts w:ascii="Arial" w:eastAsia="Times New Roman" w:hAnsi="Arial" w:cs="Arial"/>
          <w:color w:val="002442"/>
          <w:sz w:val="21"/>
          <w:szCs w:val="21"/>
          <w:lang w:val="en-US" w:eastAsia="ru-RU"/>
        </w:rPr>
        <w:t> contains the essential information to guide you through the process of preparing and submitting a proposal, including the Guide for Applicants. Proposals are submitted electronically via the Commission’s Participants portal – Electronic Proposal Submission Service (EPSS) before a strictly-enforced deadline.</w:t>
      </w:r>
    </w:p>
    <w:bookmarkStart w:id="0" w:name="_GoBack"/>
    <w:bookmarkEnd w:id="0"/>
    <w:p w:rsidR="0006754A" w:rsidRPr="0006754A" w:rsidRDefault="0006754A" w:rsidP="0006754A">
      <w:pPr>
        <w:spacing w:after="150" w:line="240" w:lineRule="auto"/>
        <w:jc w:val="both"/>
        <w:rPr>
          <w:rFonts w:ascii="Arial" w:eastAsia="Times New Roman" w:hAnsi="Arial" w:cs="Arial"/>
          <w:color w:val="002442"/>
          <w:sz w:val="21"/>
          <w:szCs w:val="21"/>
          <w:lang w:val="en-US" w:eastAsia="ru-RU"/>
        </w:rPr>
      </w:pPr>
      <w:r w:rsidRPr="0006754A">
        <w:rPr>
          <w:rFonts w:ascii="Arial" w:eastAsia="Times New Roman" w:hAnsi="Arial" w:cs="Arial"/>
          <w:color w:val="002442"/>
          <w:sz w:val="21"/>
          <w:szCs w:val="21"/>
          <w:lang w:eastAsia="ru-RU"/>
        </w:rPr>
        <w:fldChar w:fldCharType="begin"/>
      </w:r>
      <w:r w:rsidRPr="0006754A">
        <w:rPr>
          <w:rFonts w:ascii="Arial" w:eastAsia="Times New Roman" w:hAnsi="Arial" w:cs="Arial"/>
          <w:color w:val="002442"/>
          <w:sz w:val="21"/>
          <w:szCs w:val="21"/>
          <w:lang w:val="en-US" w:eastAsia="ru-RU"/>
        </w:rPr>
        <w:instrText xml:space="preserve"> HYPERLINK "http://ec.europa.eu/research/participants/data/ref/h2020/wp/2016_2017/main/h2020-wp1617-msca_en.pdf" </w:instrText>
      </w:r>
      <w:r w:rsidRPr="0006754A">
        <w:rPr>
          <w:rFonts w:ascii="Arial" w:eastAsia="Times New Roman" w:hAnsi="Arial" w:cs="Arial"/>
          <w:color w:val="002442"/>
          <w:sz w:val="21"/>
          <w:szCs w:val="21"/>
          <w:lang w:eastAsia="ru-RU"/>
        </w:rPr>
        <w:fldChar w:fldCharType="separate"/>
      </w:r>
      <w:r w:rsidRPr="0006754A">
        <w:rPr>
          <w:rFonts w:ascii="Arial" w:eastAsia="Times New Roman" w:hAnsi="Arial" w:cs="Arial"/>
          <w:b/>
          <w:bCs/>
          <w:color w:val="1E73BE"/>
          <w:sz w:val="21"/>
          <w:szCs w:val="21"/>
          <w:lang w:val="en-US" w:eastAsia="ru-RU"/>
        </w:rPr>
        <w:t xml:space="preserve">Work </w:t>
      </w:r>
      <w:proofErr w:type="spellStart"/>
      <w:r w:rsidRPr="0006754A">
        <w:rPr>
          <w:rFonts w:ascii="Arial" w:eastAsia="Times New Roman" w:hAnsi="Arial" w:cs="Arial"/>
          <w:b/>
          <w:bCs/>
          <w:color w:val="1E73BE"/>
          <w:sz w:val="21"/>
          <w:szCs w:val="21"/>
          <w:lang w:val="en-US" w:eastAsia="ru-RU"/>
        </w:rPr>
        <w:t>programme</w:t>
      </w:r>
      <w:proofErr w:type="spellEnd"/>
      <w:r w:rsidRPr="0006754A">
        <w:rPr>
          <w:rFonts w:ascii="Arial" w:eastAsia="Times New Roman" w:hAnsi="Arial" w:cs="Arial"/>
          <w:b/>
          <w:bCs/>
          <w:color w:val="1E73BE"/>
          <w:sz w:val="21"/>
          <w:szCs w:val="21"/>
          <w:lang w:val="en-US" w:eastAsia="ru-RU"/>
        </w:rPr>
        <w:t xml:space="preserve"> 2016-17</w:t>
      </w:r>
      <w:r w:rsidRPr="0006754A">
        <w:rPr>
          <w:rFonts w:ascii="Arial" w:eastAsia="Times New Roman" w:hAnsi="Arial" w:cs="Arial"/>
          <w:color w:val="002442"/>
          <w:sz w:val="21"/>
          <w:szCs w:val="21"/>
          <w:lang w:eastAsia="ru-RU"/>
        </w:rPr>
        <w:fldChar w:fldCharType="end"/>
      </w:r>
      <w:r w:rsidRPr="0006754A">
        <w:rPr>
          <w:rFonts w:ascii="Arial" w:eastAsia="Times New Roman" w:hAnsi="Arial" w:cs="Arial"/>
          <w:color w:val="002442"/>
          <w:sz w:val="21"/>
          <w:szCs w:val="21"/>
          <w:lang w:val="en-US" w:eastAsia="ru-RU"/>
        </w:rPr>
        <w:t> Choose translations of the previous link provides a detailed description of the action, its objectives and scope, the eligibility criteria, the EU contribution and the evaluation criteria.</w:t>
      </w:r>
    </w:p>
    <w:p w:rsidR="0006754A" w:rsidRPr="0006754A" w:rsidRDefault="0006754A" w:rsidP="0006754A">
      <w:pPr>
        <w:spacing w:after="150" w:line="240" w:lineRule="auto"/>
        <w:jc w:val="both"/>
        <w:rPr>
          <w:rFonts w:ascii="Arial" w:eastAsia="Times New Roman" w:hAnsi="Arial" w:cs="Arial"/>
          <w:color w:val="002442"/>
          <w:sz w:val="21"/>
          <w:szCs w:val="21"/>
          <w:lang w:val="en-US" w:eastAsia="ru-RU"/>
        </w:rPr>
      </w:pPr>
      <w:r w:rsidRPr="0006754A">
        <w:rPr>
          <w:rFonts w:ascii="Arial" w:eastAsia="Times New Roman" w:hAnsi="Arial" w:cs="Arial"/>
          <w:color w:val="002442"/>
          <w:sz w:val="21"/>
          <w:szCs w:val="21"/>
          <w:lang w:val="en-US" w:eastAsia="ru-RU"/>
        </w:rPr>
        <w:t xml:space="preserve">Guides for Applicants and Work </w:t>
      </w:r>
      <w:proofErr w:type="spellStart"/>
      <w:r w:rsidRPr="0006754A">
        <w:rPr>
          <w:rFonts w:ascii="Arial" w:eastAsia="Times New Roman" w:hAnsi="Arial" w:cs="Arial"/>
          <w:color w:val="002442"/>
          <w:sz w:val="21"/>
          <w:szCs w:val="21"/>
          <w:lang w:val="en-US" w:eastAsia="ru-RU"/>
        </w:rPr>
        <w:t>programmes</w:t>
      </w:r>
      <w:proofErr w:type="spellEnd"/>
      <w:r w:rsidRPr="0006754A">
        <w:rPr>
          <w:rFonts w:ascii="Arial" w:eastAsia="Times New Roman" w:hAnsi="Arial" w:cs="Arial"/>
          <w:color w:val="002442"/>
          <w:sz w:val="21"/>
          <w:szCs w:val="21"/>
          <w:lang w:val="en-US" w:eastAsia="ru-RU"/>
        </w:rPr>
        <w:t xml:space="preserve"> are revised each year, so make sure you refer to the latest version before preparing your proposal.</w:t>
      </w:r>
    </w:p>
    <w:p w:rsidR="0006754A" w:rsidRPr="0006754A" w:rsidRDefault="0006754A" w:rsidP="0006754A">
      <w:pPr>
        <w:spacing w:line="240" w:lineRule="auto"/>
        <w:jc w:val="both"/>
        <w:rPr>
          <w:rFonts w:ascii="Arial" w:eastAsia="Times New Roman" w:hAnsi="Arial" w:cs="Arial"/>
          <w:color w:val="002442"/>
          <w:sz w:val="21"/>
          <w:szCs w:val="21"/>
          <w:lang w:val="en-US" w:eastAsia="ru-RU"/>
        </w:rPr>
      </w:pPr>
      <w:r w:rsidRPr="0006754A">
        <w:rPr>
          <w:rFonts w:ascii="Arial" w:eastAsia="Times New Roman" w:hAnsi="Arial" w:cs="Arial"/>
          <w:color w:val="002442"/>
          <w:sz w:val="21"/>
          <w:szCs w:val="21"/>
          <w:lang w:val="en-US" w:eastAsia="ru-RU"/>
        </w:rPr>
        <w:t xml:space="preserve">The Guide and the Work </w:t>
      </w:r>
      <w:proofErr w:type="spellStart"/>
      <w:r w:rsidRPr="0006754A">
        <w:rPr>
          <w:rFonts w:ascii="Arial" w:eastAsia="Times New Roman" w:hAnsi="Arial" w:cs="Arial"/>
          <w:color w:val="002442"/>
          <w:sz w:val="21"/>
          <w:szCs w:val="21"/>
          <w:lang w:val="en-US" w:eastAsia="ru-RU"/>
        </w:rPr>
        <w:t>programme</w:t>
      </w:r>
      <w:proofErr w:type="spellEnd"/>
      <w:r w:rsidRPr="0006754A">
        <w:rPr>
          <w:rFonts w:ascii="Arial" w:eastAsia="Times New Roman" w:hAnsi="Arial" w:cs="Arial"/>
          <w:color w:val="002442"/>
          <w:sz w:val="21"/>
          <w:szCs w:val="21"/>
          <w:lang w:val="en-US" w:eastAsia="ru-RU"/>
        </w:rPr>
        <w:t xml:space="preserve"> are essential reading. However, you may also wish to consult other reference and background documents, particular those relating to negotiation and the grant agreements, which are available from the </w:t>
      </w:r>
      <w:hyperlink r:id="rId9" w:history="1">
        <w:r w:rsidRPr="0006754A">
          <w:rPr>
            <w:rFonts w:ascii="Arial" w:eastAsia="Times New Roman" w:hAnsi="Arial" w:cs="Arial"/>
            <w:b/>
            <w:bCs/>
            <w:color w:val="1E73BE"/>
            <w:sz w:val="21"/>
            <w:szCs w:val="21"/>
            <w:lang w:val="en-US" w:eastAsia="ru-RU"/>
          </w:rPr>
          <w:t>How to manage my project English</w:t>
        </w:r>
      </w:hyperlink>
      <w:r w:rsidRPr="0006754A">
        <w:rPr>
          <w:rFonts w:ascii="Arial" w:eastAsia="Times New Roman" w:hAnsi="Arial" w:cs="Arial"/>
          <w:color w:val="002442"/>
          <w:sz w:val="21"/>
          <w:szCs w:val="21"/>
          <w:lang w:val="en-US" w:eastAsia="ru-RU"/>
        </w:rPr>
        <w:t>.</w:t>
      </w:r>
    </w:p>
    <w:p w:rsidR="0006754A" w:rsidRPr="0006754A" w:rsidRDefault="0006754A" w:rsidP="0006754A">
      <w:pPr>
        <w:spacing w:after="0" w:line="300" w:lineRule="atLeast"/>
        <w:rPr>
          <w:rFonts w:ascii="Arial" w:eastAsia="Times New Roman" w:hAnsi="Arial" w:cs="Arial"/>
          <w:b/>
          <w:bCs/>
          <w:color w:val="002442"/>
          <w:sz w:val="20"/>
          <w:szCs w:val="20"/>
          <w:lang w:val="en-US" w:eastAsia="ru-RU"/>
        </w:rPr>
      </w:pPr>
      <w:r w:rsidRPr="0006754A">
        <w:rPr>
          <w:rFonts w:ascii="Arial" w:eastAsia="Times New Roman" w:hAnsi="Arial" w:cs="Arial"/>
          <w:b/>
          <w:bCs/>
          <w:color w:val="002442"/>
          <w:sz w:val="20"/>
          <w:szCs w:val="20"/>
          <w:lang w:val="en-US" w:eastAsia="ru-RU"/>
        </w:rPr>
        <w:t>Proposal evaluation</w:t>
      </w:r>
    </w:p>
    <w:p w:rsidR="0006754A" w:rsidRPr="0006754A" w:rsidRDefault="0006754A" w:rsidP="0006754A">
      <w:pPr>
        <w:spacing w:after="150" w:line="315" w:lineRule="atLeast"/>
        <w:jc w:val="both"/>
        <w:outlineLvl w:val="4"/>
        <w:rPr>
          <w:rFonts w:ascii="Arial" w:eastAsia="Times New Roman" w:hAnsi="Arial" w:cs="Arial"/>
          <w:b/>
          <w:bCs/>
          <w:color w:val="FF6600"/>
          <w:sz w:val="24"/>
          <w:szCs w:val="24"/>
          <w:lang w:val="en-US" w:eastAsia="ru-RU"/>
        </w:rPr>
      </w:pPr>
      <w:r w:rsidRPr="0006754A">
        <w:rPr>
          <w:rFonts w:ascii="Arial" w:eastAsia="Times New Roman" w:hAnsi="Arial" w:cs="Arial"/>
          <w:b/>
          <w:bCs/>
          <w:color w:val="FF6600"/>
          <w:sz w:val="24"/>
          <w:szCs w:val="24"/>
          <w:lang w:val="en-US" w:eastAsia="ru-RU"/>
        </w:rPr>
        <w:t>Research Executive Agency</w:t>
      </w:r>
    </w:p>
    <w:p w:rsidR="0006754A" w:rsidRPr="0006754A" w:rsidRDefault="0006754A" w:rsidP="0006754A">
      <w:pPr>
        <w:spacing w:line="240" w:lineRule="auto"/>
        <w:jc w:val="both"/>
        <w:rPr>
          <w:rFonts w:ascii="Arial" w:eastAsia="Times New Roman" w:hAnsi="Arial" w:cs="Arial"/>
          <w:color w:val="002442"/>
          <w:sz w:val="21"/>
          <w:szCs w:val="21"/>
          <w:lang w:val="en-US" w:eastAsia="ru-RU"/>
        </w:rPr>
      </w:pPr>
      <w:proofErr w:type="gramStart"/>
      <w:r w:rsidRPr="0006754A">
        <w:rPr>
          <w:rFonts w:ascii="Arial" w:eastAsia="Times New Roman" w:hAnsi="Arial" w:cs="Arial"/>
          <w:color w:val="002442"/>
          <w:sz w:val="21"/>
          <w:szCs w:val="21"/>
          <w:lang w:val="en-US" w:eastAsia="ru-RU"/>
        </w:rPr>
        <w:t>evaluates</w:t>
      </w:r>
      <w:proofErr w:type="gramEnd"/>
      <w:r w:rsidRPr="0006754A">
        <w:rPr>
          <w:rFonts w:ascii="Arial" w:eastAsia="Times New Roman" w:hAnsi="Arial" w:cs="Arial"/>
          <w:color w:val="002442"/>
          <w:sz w:val="21"/>
          <w:szCs w:val="21"/>
          <w:lang w:val="en-US" w:eastAsia="ru-RU"/>
        </w:rPr>
        <w:t xml:space="preserve"> all eligible proposals in order to identify those whose quality is sufficiently high for possible funding. The basis for this evaluation is a peer-review carried out by independent experts. The results of the evaluation will be made available on the call page of the Participants portal.</w:t>
      </w:r>
    </w:p>
    <w:p w:rsidR="0006754A" w:rsidRPr="0006754A" w:rsidRDefault="0006754A" w:rsidP="0006754A">
      <w:pPr>
        <w:spacing w:after="0" w:line="300" w:lineRule="atLeast"/>
        <w:rPr>
          <w:rFonts w:ascii="Arial" w:eastAsia="Times New Roman" w:hAnsi="Arial" w:cs="Arial"/>
          <w:b/>
          <w:bCs/>
          <w:color w:val="002442"/>
          <w:sz w:val="20"/>
          <w:szCs w:val="20"/>
          <w:lang w:val="en-US" w:eastAsia="ru-RU"/>
        </w:rPr>
      </w:pPr>
      <w:r w:rsidRPr="0006754A">
        <w:rPr>
          <w:rFonts w:ascii="Arial" w:eastAsia="Times New Roman" w:hAnsi="Arial" w:cs="Arial"/>
          <w:b/>
          <w:bCs/>
          <w:color w:val="002442"/>
          <w:sz w:val="20"/>
          <w:szCs w:val="20"/>
          <w:lang w:val="en-US" w:eastAsia="ru-RU"/>
        </w:rPr>
        <w:t>Negotiation and Selection</w:t>
      </w:r>
    </w:p>
    <w:p w:rsidR="0006754A" w:rsidRPr="0006754A" w:rsidRDefault="0006754A" w:rsidP="0006754A">
      <w:pPr>
        <w:spacing w:after="150" w:line="315" w:lineRule="atLeast"/>
        <w:jc w:val="both"/>
        <w:outlineLvl w:val="4"/>
        <w:rPr>
          <w:rFonts w:ascii="Arial" w:eastAsia="Times New Roman" w:hAnsi="Arial" w:cs="Arial"/>
          <w:b/>
          <w:bCs/>
          <w:color w:val="FF6600"/>
          <w:sz w:val="24"/>
          <w:szCs w:val="24"/>
          <w:lang w:val="en-US" w:eastAsia="ru-RU"/>
        </w:rPr>
      </w:pPr>
      <w:r w:rsidRPr="0006754A">
        <w:rPr>
          <w:rFonts w:ascii="Arial" w:eastAsia="Times New Roman" w:hAnsi="Arial" w:cs="Arial"/>
          <w:b/>
          <w:bCs/>
          <w:color w:val="FF6600"/>
          <w:sz w:val="24"/>
          <w:szCs w:val="24"/>
          <w:lang w:val="en-US" w:eastAsia="ru-RU"/>
        </w:rPr>
        <w:t>Research Executive Agency</w:t>
      </w:r>
    </w:p>
    <w:p w:rsidR="0006754A" w:rsidRPr="0006754A" w:rsidRDefault="0006754A" w:rsidP="0006754A">
      <w:pPr>
        <w:spacing w:line="240" w:lineRule="auto"/>
        <w:jc w:val="both"/>
        <w:rPr>
          <w:rFonts w:ascii="Arial" w:eastAsia="Times New Roman" w:hAnsi="Arial" w:cs="Arial"/>
          <w:color w:val="002442"/>
          <w:sz w:val="21"/>
          <w:szCs w:val="21"/>
          <w:lang w:val="en-US" w:eastAsia="ru-RU"/>
        </w:rPr>
      </w:pPr>
      <w:proofErr w:type="gramStart"/>
      <w:r w:rsidRPr="0006754A">
        <w:rPr>
          <w:rFonts w:ascii="Arial" w:eastAsia="Times New Roman" w:hAnsi="Arial" w:cs="Arial"/>
          <w:color w:val="002442"/>
          <w:sz w:val="21"/>
          <w:szCs w:val="21"/>
          <w:lang w:val="en-US" w:eastAsia="ru-RU"/>
        </w:rPr>
        <w:t>then</w:t>
      </w:r>
      <w:proofErr w:type="gramEnd"/>
      <w:r w:rsidRPr="0006754A">
        <w:rPr>
          <w:rFonts w:ascii="Arial" w:eastAsia="Times New Roman" w:hAnsi="Arial" w:cs="Arial"/>
          <w:color w:val="002442"/>
          <w:sz w:val="21"/>
          <w:szCs w:val="21"/>
          <w:lang w:val="en-US" w:eastAsia="ru-RU"/>
        </w:rPr>
        <w:t xml:space="preserve"> negotiates with some or all of those applicants whose proposals have successfully passed the evaluation stage, depending on the budget available. If negotiations are successfully concluded, grant agreements providing for an EU financial contribution are established with the participants.</w:t>
      </w:r>
    </w:p>
    <w:p w:rsidR="0006754A" w:rsidRPr="0006754A" w:rsidRDefault="0006754A" w:rsidP="0006754A">
      <w:pPr>
        <w:spacing w:before="150" w:after="150" w:line="315" w:lineRule="atLeast"/>
        <w:outlineLvl w:val="4"/>
        <w:rPr>
          <w:rFonts w:ascii="Arial" w:eastAsia="Times New Roman" w:hAnsi="Arial" w:cs="Arial"/>
          <w:b/>
          <w:bCs/>
          <w:color w:val="FF6600"/>
          <w:sz w:val="24"/>
          <w:szCs w:val="24"/>
          <w:lang w:val="en-US" w:eastAsia="ru-RU"/>
        </w:rPr>
      </w:pPr>
      <w:r w:rsidRPr="0006754A">
        <w:rPr>
          <w:rFonts w:ascii="Arial" w:eastAsia="Times New Roman" w:hAnsi="Arial" w:cs="Arial"/>
          <w:b/>
          <w:bCs/>
          <w:color w:val="FF6600"/>
          <w:sz w:val="24"/>
          <w:szCs w:val="24"/>
          <w:lang w:val="en-US" w:eastAsia="ru-RU"/>
        </w:rPr>
        <w:lastRenderedPageBreak/>
        <w:t xml:space="preserve">Types of Marie </w:t>
      </w:r>
      <w:proofErr w:type="spellStart"/>
      <w:r w:rsidRPr="0006754A">
        <w:rPr>
          <w:rFonts w:ascii="Arial" w:eastAsia="Times New Roman" w:hAnsi="Arial" w:cs="Arial"/>
          <w:b/>
          <w:bCs/>
          <w:color w:val="FF6600"/>
          <w:sz w:val="24"/>
          <w:szCs w:val="24"/>
          <w:lang w:val="en-US" w:eastAsia="ru-RU"/>
        </w:rPr>
        <w:t>Skłodowska</w:t>
      </w:r>
      <w:proofErr w:type="spellEnd"/>
      <w:r w:rsidRPr="0006754A">
        <w:rPr>
          <w:rFonts w:ascii="Arial" w:eastAsia="Times New Roman" w:hAnsi="Arial" w:cs="Arial"/>
          <w:b/>
          <w:bCs/>
          <w:color w:val="FF6600"/>
          <w:sz w:val="24"/>
          <w:szCs w:val="24"/>
          <w:lang w:val="en-US" w:eastAsia="ru-RU"/>
        </w:rPr>
        <w:t>-Curie actions (MSCA)</w:t>
      </w:r>
    </w:p>
    <w:p w:rsidR="0006754A" w:rsidRPr="0006754A" w:rsidRDefault="0006754A" w:rsidP="0006754A">
      <w:pPr>
        <w:spacing w:after="0" w:line="300" w:lineRule="atLeast"/>
        <w:rPr>
          <w:rFonts w:ascii="Arial" w:eastAsia="Times New Roman" w:hAnsi="Arial" w:cs="Arial"/>
          <w:b/>
          <w:bCs/>
          <w:color w:val="002442"/>
          <w:sz w:val="20"/>
          <w:szCs w:val="20"/>
          <w:lang w:val="en-US" w:eastAsia="ru-RU"/>
        </w:rPr>
      </w:pPr>
      <w:r w:rsidRPr="0006754A">
        <w:rPr>
          <w:rFonts w:ascii="Arial" w:eastAsia="Times New Roman" w:hAnsi="Arial" w:cs="Arial"/>
          <w:b/>
          <w:bCs/>
          <w:color w:val="002442"/>
          <w:sz w:val="20"/>
          <w:szCs w:val="20"/>
          <w:lang w:val="en-US" w:eastAsia="ru-RU"/>
        </w:rPr>
        <w:t>Research networks</w:t>
      </w:r>
    </w:p>
    <w:p w:rsidR="0006754A" w:rsidRPr="0006754A" w:rsidRDefault="0006754A" w:rsidP="0006754A">
      <w:pPr>
        <w:spacing w:after="150" w:line="315" w:lineRule="atLeast"/>
        <w:jc w:val="both"/>
        <w:outlineLvl w:val="4"/>
        <w:rPr>
          <w:rFonts w:ascii="Arial" w:eastAsia="Times New Roman" w:hAnsi="Arial" w:cs="Arial"/>
          <w:b/>
          <w:bCs/>
          <w:color w:val="FF6600"/>
          <w:sz w:val="24"/>
          <w:szCs w:val="24"/>
          <w:lang w:val="en-US" w:eastAsia="ru-RU"/>
        </w:rPr>
      </w:pPr>
      <w:r w:rsidRPr="0006754A">
        <w:rPr>
          <w:rFonts w:ascii="Arial" w:eastAsia="Times New Roman" w:hAnsi="Arial" w:cs="Arial"/>
          <w:b/>
          <w:bCs/>
          <w:color w:val="FF6600"/>
          <w:sz w:val="24"/>
          <w:szCs w:val="24"/>
          <w:lang w:val="en-US" w:eastAsia="ru-RU"/>
        </w:rPr>
        <w:t>Research networks (ITN): support for Innovative Training Networks</w:t>
      </w:r>
    </w:p>
    <w:p w:rsidR="0006754A" w:rsidRPr="0006754A" w:rsidRDefault="0006754A" w:rsidP="0006754A">
      <w:pPr>
        <w:spacing w:line="240" w:lineRule="auto"/>
        <w:jc w:val="both"/>
        <w:rPr>
          <w:rFonts w:ascii="Arial" w:eastAsia="Times New Roman" w:hAnsi="Arial" w:cs="Arial"/>
          <w:color w:val="002442"/>
          <w:sz w:val="21"/>
          <w:szCs w:val="21"/>
          <w:lang w:val="en-US" w:eastAsia="ru-RU"/>
        </w:rPr>
      </w:pPr>
      <w:r w:rsidRPr="0006754A">
        <w:rPr>
          <w:rFonts w:ascii="Arial" w:eastAsia="Times New Roman" w:hAnsi="Arial" w:cs="Arial"/>
          <w:color w:val="002442"/>
          <w:sz w:val="21"/>
          <w:szCs w:val="21"/>
          <w:lang w:val="en-US" w:eastAsia="ru-RU"/>
        </w:rPr>
        <w:t xml:space="preserve">ITNs support competitively selected joint research training and/or doctoral </w:t>
      </w:r>
      <w:proofErr w:type="spellStart"/>
      <w:r w:rsidRPr="0006754A">
        <w:rPr>
          <w:rFonts w:ascii="Arial" w:eastAsia="Times New Roman" w:hAnsi="Arial" w:cs="Arial"/>
          <w:color w:val="002442"/>
          <w:sz w:val="21"/>
          <w:szCs w:val="21"/>
          <w:lang w:val="en-US" w:eastAsia="ru-RU"/>
        </w:rPr>
        <w:t>programmes</w:t>
      </w:r>
      <w:proofErr w:type="spellEnd"/>
      <w:r w:rsidRPr="0006754A">
        <w:rPr>
          <w:rFonts w:ascii="Arial" w:eastAsia="Times New Roman" w:hAnsi="Arial" w:cs="Arial"/>
          <w:color w:val="002442"/>
          <w:sz w:val="21"/>
          <w:szCs w:val="21"/>
          <w:lang w:val="en-US" w:eastAsia="ru-RU"/>
        </w:rPr>
        <w:t xml:space="preserve">, implemented by European partnerships of universities, research institutions, and non-academic </w:t>
      </w:r>
      <w:proofErr w:type="spellStart"/>
      <w:r w:rsidRPr="0006754A">
        <w:rPr>
          <w:rFonts w:ascii="Arial" w:eastAsia="Times New Roman" w:hAnsi="Arial" w:cs="Arial"/>
          <w:color w:val="002442"/>
          <w:sz w:val="21"/>
          <w:szCs w:val="21"/>
          <w:lang w:val="en-US" w:eastAsia="ru-RU"/>
        </w:rPr>
        <w:t>organisations</w:t>
      </w:r>
      <w:proofErr w:type="spellEnd"/>
      <w:r w:rsidRPr="0006754A">
        <w:rPr>
          <w:rFonts w:ascii="Arial" w:eastAsia="Times New Roman" w:hAnsi="Arial" w:cs="Arial"/>
          <w:color w:val="002442"/>
          <w:sz w:val="21"/>
          <w:szCs w:val="21"/>
          <w:lang w:val="en-US" w:eastAsia="ru-RU"/>
        </w:rPr>
        <w:t>.</w:t>
      </w:r>
      <w:r w:rsidRPr="0006754A">
        <w:rPr>
          <w:rFonts w:ascii="Arial" w:eastAsia="Times New Roman" w:hAnsi="Arial" w:cs="Arial"/>
          <w:color w:val="002442"/>
          <w:sz w:val="21"/>
          <w:szCs w:val="21"/>
          <w:lang w:val="en-US" w:eastAsia="ru-RU"/>
        </w:rPr>
        <w:br/>
        <w:t xml:space="preserve">The research training </w:t>
      </w:r>
      <w:proofErr w:type="spellStart"/>
      <w:r w:rsidRPr="0006754A">
        <w:rPr>
          <w:rFonts w:ascii="Arial" w:eastAsia="Times New Roman" w:hAnsi="Arial" w:cs="Arial"/>
          <w:color w:val="002442"/>
          <w:sz w:val="21"/>
          <w:szCs w:val="21"/>
          <w:lang w:val="en-US" w:eastAsia="ru-RU"/>
        </w:rPr>
        <w:t>programmes</w:t>
      </w:r>
      <w:proofErr w:type="spellEnd"/>
      <w:r w:rsidRPr="0006754A">
        <w:rPr>
          <w:rFonts w:ascii="Arial" w:eastAsia="Times New Roman" w:hAnsi="Arial" w:cs="Arial"/>
          <w:color w:val="002442"/>
          <w:sz w:val="21"/>
          <w:szCs w:val="21"/>
          <w:lang w:val="en-US" w:eastAsia="ru-RU"/>
        </w:rPr>
        <w:t xml:space="preserve"> provide experience outside academia, hence developing innovation and employability skills. ITNs include industrial doctorates, in which non-academic </w:t>
      </w:r>
      <w:proofErr w:type="spellStart"/>
      <w:r w:rsidRPr="0006754A">
        <w:rPr>
          <w:rFonts w:ascii="Arial" w:eastAsia="Times New Roman" w:hAnsi="Arial" w:cs="Arial"/>
          <w:color w:val="002442"/>
          <w:sz w:val="21"/>
          <w:szCs w:val="21"/>
          <w:lang w:val="en-US" w:eastAsia="ru-RU"/>
        </w:rPr>
        <w:t>organisations</w:t>
      </w:r>
      <w:proofErr w:type="spellEnd"/>
      <w:r w:rsidRPr="0006754A">
        <w:rPr>
          <w:rFonts w:ascii="Arial" w:eastAsia="Times New Roman" w:hAnsi="Arial" w:cs="Arial"/>
          <w:color w:val="002442"/>
          <w:sz w:val="21"/>
          <w:szCs w:val="21"/>
          <w:lang w:val="en-US" w:eastAsia="ru-RU"/>
        </w:rPr>
        <w:t xml:space="preserve"> have an equal role to universities in respect of the researcher’s time and supervision, and joint doctoral degrees delivered by several universities. Furthermore, non-European </w:t>
      </w:r>
      <w:proofErr w:type="spellStart"/>
      <w:r w:rsidRPr="0006754A">
        <w:rPr>
          <w:rFonts w:ascii="Arial" w:eastAsia="Times New Roman" w:hAnsi="Arial" w:cs="Arial"/>
          <w:color w:val="002442"/>
          <w:sz w:val="21"/>
          <w:szCs w:val="21"/>
          <w:lang w:val="en-US" w:eastAsia="ru-RU"/>
        </w:rPr>
        <w:t>organisations</w:t>
      </w:r>
      <w:proofErr w:type="spellEnd"/>
      <w:r w:rsidRPr="0006754A">
        <w:rPr>
          <w:rFonts w:ascii="Arial" w:eastAsia="Times New Roman" w:hAnsi="Arial" w:cs="Arial"/>
          <w:color w:val="002442"/>
          <w:sz w:val="21"/>
          <w:szCs w:val="21"/>
          <w:lang w:val="en-US" w:eastAsia="ru-RU"/>
        </w:rPr>
        <w:t xml:space="preserve"> can participate as additional partners in ITNs, enabling doctoral-level candidates to gain experience outside Europe during their training.</w:t>
      </w:r>
    </w:p>
    <w:p w:rsidR="0006754A" w:rsidRPr="0006754A" w:rsidRDefault="0006754A" w:rsidP="0006754A">
      <w:pPr>
        <w:spacing w:after="0" w:line="300" w:lineRule="atLeast"/>
        <w:rPr>
          <w:rFonts w:ascii="Arial" w:eastAsia="Times New Roman" w:hAnsi="Arial" w:cs="Arial"/>
          <w:b/>
          <w:bCs/>
          <w:color w:val="002442"/>
          <w:sz w:val="20"/>
          <w:szCs w:val="20"/>
          <w:lang w:val="en-US" w:eastAsia="ru-RU"/>
        </w:rPr>
      </w:pPr>
      <w:r w:rsidRPr="0006754A">
        <w:rPr>
          <w:rFonts w:ascii="Arial" w:eastAsia="Times New Roman" w:hAnsi="Arial" w:cs="Arial"/>
          <w:b/>
          <w:bCs/>
          <w:color w:val="002442"/>
          <w:sz w:val="20"/>
          <w:szCs w:val="20"/>
          <w:lang w:val="en-US" w:eastAsia="ru-RU"/>
        </w:rPr>
        <w:t>Individual fellowships</w:t>
      </w:r>
    </w:p>
    <w:p w:rsidR="0006754A" w:rsidRPr="0006754A" w:rsidRDefault="0006754A" w:rsidP="0006754A">
      <w:pPr>
        <w:spacing w:after="150" w:line="315" w:lineRule="atLeast"/>
        <w:jc w:val="both"/>
        <w:outlineLvl w:val="4"/>
        <w:rPr>
          <w:rFonts w:ascii="Arial" w:eastAsia="Times New Roman" w:hAnsi="Arial" w:cs="Arial"/>
          <w:b/>
          <w:bCs/>
          <w:color w:val="FF6600"/>
          <w:sz w:val="24"/>
          <w:szCs w:val="24"/>
          <w:lang w:val="en-US" w:eastAsia="ru-RU"/>
        </w:rPr>
      </w:pPr>
      <w:r w:rsidRPr="0006754A">
        <w:rPr>
          <w:rFonts w:ascii="Arial" w:eastAsia="Times New Roman" w:hAnsi="Arial" w:cs="Arial"/>
          <w:b/>
          <w:bCs/>
          <w:color w:val="FF6600"/>
          <w:sz w:val="24"/>
          <w:szCs w:val="24"/>
          <w:lang w:val="en-US" w:eastAsia="ru-RU"/>
        </w:rPr>
        <w:t>Individual fellowships (IF): support for experienced researchers undertaking mobility between countries, optionally to the non-academic sector</w:t>
      </w:r>
    </w:p>
    <w:p w:rsidR="0006754A" w:rsidRPr="0006754A" w:rsidRDefault="0006754A" w:rsidP="0006754A">
      <w:pPr>
        <w:spacing w:line="240" w:lineRule="auto"/>
        <w:jc w:val="both"/>
        <w:rPr>
          <w:rFonts w:ascii="Arial" w:eastAsia="Times New Roman" w:hAnsi="Arial" w:cs="Arial"/>
          <w:color w:val="002442"/>
          <w:sz w:val="21"/>
          <w:szCs w:val="21"/>
          <w:lang w:val="en-US" w:eastAsia="ru-RU"/>
        </w:rPr>
      </w:pPr>
      <w:r w:rsidRPr="0006754A">
        <w:rPr>
          <w:rFonts w:ascii="Arial" w:eastAsia="Times New Roman" w:hAnsi="Arial" w:cs="Arial"/>
          <w:color w:val="002442"/>
          <w:sz w:val="21"/>
          <w:szCs w:val="21"/>
          <w:lang w:val="en-US" w:eastAsia="ru-RU"/>
        </w:rPr>
        <w:t xml:space="preserve">Individual Fellowships support the mobility of researchers within and beyond Europe – as well as helping to attract the best foreign researchers to work in the EU. The grant usually covers two years’ salary, a mobility allowance, research costs and overheads for the host institution. Individual researchers submit proposals for funding in liaison with their planned host </w:t>
      </w:r>
      <w:proofErr w:type="spellStart"/>
      <w:r w:rsidRPr="0006754A">
        <w:rPr>
          <w:rFonts w:ascii="Arial" w:eastAsia="Times New Roman" w:hAnsi="Arial" w:cs="Arial"/>
          <w:color w:val="002442"/>
          <w:sz w:val="21"/>
          <w:szCs w:val="21"/>
          <w:lang w:val="en-US" w:eastAsia="ru-RU"/>
        </w:rPr>
        <w:t>organisation</w:t>
      </w:r>
      <w:proofErr w:type="spellEnd"/>
      <w:r w:rsidRPr="0006754A">
        <w:rPr>
          <w:rFonts w:ascii="Arial" w:eastAsia="Times New Roman" w:hAnsi="Arial" w:cs="Arial"/>
          <w:color w:val="002442"/>
          <w:sz w:val="21"/>
          <w:szCs w:val="21"/>
          <w:lang w:val="en-US" w:eastAsia="ru-RU"/>
        </w:rPr>
        <w:t xml:space="preserve">. Proposals are judged on their research quality, the researcher’s future career prospects, and the support offered by the host </w:t>
      </w:r>
      <w:proofErr w:type="spellStart"/>
      <w:r w:rsidRPr="0006754A">
        <w:rPr>
          <w:rFonts w:ascii="Arial" w:eastAsia="Times New Roman" w:hAnsi="Arial" w:cs="Arial"/>
          <w:color w:val="002442"/>
          <w:sz w:val="21"/>
          <w:szCs w:val="21"/>
          <w:lang w:val="en-US" w:eastAsia="ru-RU"/>
        </w:rPr>
        <w:t>organisation</w:t>
      </w:r>
      <w:proofErr w:type="spellEnd"/>
      <w:r w:rsidRPr="0006754A">
        <w:rPr>
          <w:rFonts w:ascii="Arial" w:eastAsia="Times New Roman" w:hAnsi="Arial" w:cs="Arial"/>
          <w:color w:val="002442"/>
          <w:sz w:val="21"/>
          <w:szCs w:val="21"/>
          <w:lang w:val="en-US" w:eastAsia="ru-RU"/>
        </w:rPr>
        <w:t>. Fellows can also spend part of the fellowship elsewhere in Europe if this would boost impact, and those restarting their career in Europe benefit from special eligibility conditions.</w:t>
      </w:r>
    </w:p>
    <w:p w:rsidR="0006754A" w:rsidRPr="0006754A" w:rsidRDefault="0006754A" w:rsidP="0006754A">
      <w:pPr>
        <w:spacing w:after="0" w:line="300" w:lineRule="atLeast"/>
        <w:rPr>
          <w:rFonts w:ascii="Arial" w:eastAsia="Times New Roman" w:hAnsi="Arial" w:cs="Arial"/>
          <w:b/>
          <w:bCs/>
          <w:color w:val="002442"/>
          <w:sz w:val="20"/>
          <w:szCs w:val="20"/>
          <w:lang w:val="en-US" w:eastAsia="ru-RU"/>
        </w:rPr>
      </w:pPr>
      <w:r w:rsidRPr="0006754A">
        <w:rPr>
          <w:rFonts w:ascii="Arial" w:eastAsia="Times New Roman" w:hAnsi="Arial" w:cs="Arial"/>
          <w:b/>
          <w:bCs/>
          <w:color w:val="002442"/>
          <w:sz w:val="20"/>
          <w:szCs w:val="20"/>
          <w:lang w:val="en-US" w:eastAsia="ru-RU"/>
        </w:rPr>
        <w:t>International and inter-</w:t>
      </w:r>
      <w:proofErr w:type="spellStart"/>
      <w:r w:rsidRPr="0006754A">
        <w:rPr>
          <w:rFonts w:ascii="Arial" w:eastAsia="Times New Roman" w:hAnsi="Arial" w:cs="Arial"/>
          <w:b/>
          <w:bCs/>
          <w:color w:val="002442"/>
          <w:sz w:val="20"/>
          <w:szCs w:val="20"/>
          <w:lang w:val="en-US" w:eastAsia="ru-RU"/>
        </w:rPr>
        <w:t>sectoral</w:t>
      </w:r>
      <w:proofErr w:type="spellEnd"/>
      <w:r w:rsidRPr="0006754A">
        <w:rPr>
          <w:rFonts w:ascii="Arial" w:eastAsia="Times New Roman" w:hAnsi="Arial" w:cs="Arial"/>
          <w:b/>
          <w:bCs/>
          <w:color w:val="002442"/>
          <w:sz w:val="20"/>
          <w:szCs w:val="20"/>
          <w:lang w:val="en-US" w:eastAsia="ru-RU"/>
        </w:rPr>
        <w:t xml:space="preserve"> cooperation through the Research and Innovation Staff Exchanges (RISE)</w:t>
      </w:r>
    </w:p>
    <w:p w:rsidR="0006754A" w:rsidRPr="0006754A" w:rsidRDefault="0006754A" w:rsidP="0006754A">
      <w:pPr>
        <w:spacing w:after="150" w:line="315" w:lineRule="atLeast"/>
        <w:jc w:val="both"/>
        <w:outlineLvl w:val="4"/>
        <w:rPr>
          <w:rFonts w:ascii="Arial" w:eastAsia="Times New Roman" w:hAnsi="Arial" w:cs="Arial"/>
          <w:b/>
          <w:bCs/>
          <w:color w:val="FF6600"/>
          <w:sz w:val="24"/>
          <w:szCs w:val="24"/>
          <w:lang w:val="en-US" w:eastAsia="ru-RU"/>
        </w:rPr>
      </w:pPr>
      <w:r w:rsidRPr="0006754A">
        <w:rPr>
          <w:rFonts w:ascii="Arial" w:eastAsia="Times New Roman" w:hAnsi="Arial" w:cs="Arial"/>
          <w:b/>
          <w:bCs/>
          <w:color w:val="FF6600"/>
          <w:sz w:val="24"/>
          <w:szCs w:val="24"/>
          <w:lang w:val="en-US" w:eastAsia="ru-RU"/>
        </w:rPr>
        <w:t>International and inter-</w:t>
      </w:r>
      <w:proofErr w:type="spellStart"/>
      <w:r w:rsidRPr="0006754A">
        <w:rPr>
          <w:rFonts w:ascii="Arial" w:eastAsia="Times New Roman" w:hAnsi="Arial" w:cs="Arial"/>
          <w:b/>
          <w:bCs/>
          <w:color w:val="FF6600"/>
          <w:sz w:val="24"/>
          <w:szCs w:val="24"/>
          <w:lang w:val="en-US" w:eastAsia="ru-RU"/>
        </w:rPr>
        <w:t>sectoral</w:t>
      </w:r>
      <w:proofErr w:type="spellEnd"/>
      <w:r w:rsidRPr="0006754A">
        <w:rPr>
          <w:rFonts w:ascii="Arial" w:eastAsia="Times New Roman" w:hAnsi="Arial" w:cs="Arial"/>
          <w:b/>
          <w:bCs/>
          <w:color w:val="FF6600"/>
          <w:sz w:val="24"/>
          <w:szCs w:val="24"/>
          <w:lang w:val="en-US" w:eastAsia="ru-RU"/>
        </w:rPr>
        <w:t xml:space="preserve"> cooperation through the Research and Innovation Staff Exchanges (RISE)</w:t>
      </w:r>
    </w:p>
    <w:p w:rsidR="0006754A" w:rsidRPr="0006754A" w:rsidRDefault="0006754A" w:rsidP="0006754A">
      <w:pPr>
        <w:spacing w:line="240" w:lineRule="auto"/>
        <w:jc w:val="both"/>
        <w:rPr>
          <w:rFonts w:ascii="Arial" w:eastAsia="Times New Roman" w:hAnsi="Arial" w:cs="Arial"/>
          <w:color w:val="002442"/>
          <w:sz w:val="21"/>
          <w:szCs w:val="21"/>
          <w:lang w:val="en-US" w:eastAsia="ru-RU"/>
        </w:rPr>
      </w:pPr>
      <w:r w:rsidRPr="0006754A">
        <w:rPr>
          <w:rFonts w:ascii="Arial" w:eastAsia="Times New Roman" w:hAnsi="Arial" w:cs="Arial"/>
          <w:color w:val="002442"/>
          <w:sz w:val="21"/>
          <w:szCs w:val="21"/>
          <w:lang w:val="en-US" w:eastAsia="ru-RU"/>
        </w:rPr>
        <w:t xml:space="preserve">RISE supports short-term mobility of research and innovation staff at all career levels, from the most junior (post-graduate) to the most senior (management), including also administrative and technical staff. It is open to partnerships of universities, research institutions, and non-academic </w:t>
      </w:r>
      <w:proofErr w:type="spellStart"/>
      <w:r w:rsidRPr="0006754A">
        <w:rPr>
          <w:rFonts w:ascii="Arial" w:eastAsia="Times New Roman" w:hAnsi="Arial" w:cs="Arial"/>
          <w:color w:val="002442"/>
          <w:sz w:val="21"/>
          <w:szCs w:val="21"/>
          <w:lang w:val="en-US" w:eastAsia="ru-RU"/>
        </w:rPr>
        <w:t>organisations</w:t>
      </w:r>
      <w:proofErr w:type="spellEnd"/>
      <w:r w:rsidRPr="0006754A">
        <w:rPr>
          <w:rFonts w:ascii="Arial" w:eastAsia="Times New Roman" w:hAnsi="Arial" w:cs="Arial"/>
          <w:color w:val="002442"/>
          <w:sz w:val="21"/>
          <w:szCs w:val="21"/>
          <w:lang w:val="en-US" w:eastAsia="ru-RU"/>
        </w:rPr>
        <w:t xml:space="preserve"> both within and beyond Europe. In worldwide partnerships, academia-to-academia exchanges are permitted.</w:t>
      </w:r>
    </w:p>
    <w:p w:rsidR="0006754A" w:rsidRPr="0006754A" w:rsidRDefault="0006754A" w:rsidP="0006754A">
      <w:pPr>
        <w:spacing w:after="0" w:line="300" w:lineRule="atLeast"/>
        <w:rPr>
          <w:rFonts w:ascii="Arial" w:eastAsia="Times New Roman" w:hAnsi="Arial" w:cs="Arial"/>
          <w:b/>
          <w:bCs/>
          <w:color w:val="002442"/>
          <w:sz w:val="20"/>
          <w:szCs w:val="20"/>
          <w:lang w:val="en-US" w:eastAsia="ru-RU"/>
        </w:rPr>
      </w:pPr>
      <w:r w:rsidRPr="0006754A">
        <w:rPr>
          <w:rFonts w:ascii="Arial" w:eastAsia="Times New Roman" w:hAnsi="Arial" w:cs="Arial"/>
          <w:b/>
          <w:bCs/>
          <w:color w:val="002442"/>
          <w:sz w:val="20"/>
          <w:szCs w:val="20"/>
          <w:lang w:val="en-US" w:eastAsia="ru-RU"/>
        </w:rPr>
        <w:t xml:space="preserve">Co-funding of regional, national and international </w:t>
      </w:r>
      <w:proofErr w:type="spellStart"/>
      <w:r w:rsidRPr="0006754A">
        <w:rPr>
          <w:rFonts w:ascii="Arial" w:eastAsia="Times New Roman" w:hAnsi="Arial" w:cs="Arial"/>
          <w:b/>
          <w:bCs/>
          <w:color w:val="002442"/>
          <w:sz w:val="20"/>
          <w:szCs w:val="20"/>
          <w:lang w:val="en-US" w:eastAsia="ru-RU"/>
        </w:rPr>
        <w:t>programmes</w:t>
      </w:r>
      <w:proofErr w:type="spellEnd"/>
      <w:r w:rsidRPr="0006754A">
        <w:rPr>
          <w:rFonts w:ascii="Arial" w:eastAsia="Times New Roman" w:hAnsi="Arial" w:cs="Arial"/>
          <w:b/>
          <w:bCs/>
          <w:color w:val="002442"/>
          <w:sz w:val="20"/>
          <w:szCs w:val="20"/>
          <w:lang w:val="en-US" w:eastAsia="ru-RU"/>
        </w:rPr>
        <w:t xml:space="preserve"> that finance fellowships involving mobility to or from another country</w:t>
      </w:r>
    </w:p>
    <w:p w:rsidR="0006754A" w:rsidRPr="0006754A" w:rsidRDefault="0006754A" w:rsidP="0006754A">
      <w:pPr>
        <w:spacing w:after="150" w:line="315" w:lineRule="atLeast"/>
        <w:jc w:val="both"/>
        <w:outlineLvl w:val="4"/>
        <w:rPr>
          <w:rFonts w:ascii="Arial" w:eastAsia="Times New Roman" w:hAnsi="Arial" w:cs="Arial"/>
          <w:b/>
          <w:bCs/>
          <w:color w:val="FF6600"/>
          <w:sz w:val="24"/>
          <w:szCs w:val="24"/>
          <w:lang w:val="en-US" w:eastAsia="ru-RU"/>
        </w:rPr>
      </w:pPr>
      <w:r w:rsidRPr="0006754A">
        <w:rPr>
          <w:rFonts w:ascii="Arial" w:eastAsia="Times New Roman" w:hAnsi="Arial" w:cs="Arial"/>
          <w:b/>
          <w:bCs/>
          <w:color w:val="FF6600"/>
          <w:sz w:val="24"/>
          <w:szCs w:val="24"/>
          <w:lang w:val="en-US" w:eastAsia="ru-RU"/>
        </w:rPr>
        <w:t xml:space="preserve">Co-funding of regional, national and international </w:t>
      </w:r>
      <w:proofErr w:type="spellStart"/>
      <w:r w:rsidRPr="0006754A">
        <w:rPr>
          <w:rFonts w:ascii="Arial" w:eastAsia="Times New Roman" w:hAnsi="Arial" w:cs="Arial"/>
          <w:b/>
          <w:bCs/>
          <w:color w:val="FF6600"/>
          <w:sz w:val="24"/>
          <w:szCs w:val="24"/>
          <w:lang w:val="en-US" w:eastAsia="ru-RU"/>
        </w:rPr>
        <w:t>programmes</w:t>
      </w:r>
      <w:proofErr w:type="spellEnd"/>
      <w:r w:rsidRPr="0006754A">
        <w:rPr>
          <w:rFonts w:ascii="Arial" w:eastAsia="Times New Roman" w:hAnsi="Arial" w:cs="Arial"/>
          <w:b/>
          <w:bCs/>
          <w:color w:val="FF6600"/>
          <w:sz w:val="24"/>
          <w:szCs w:val="24"/>
          <w:lang w:val="en-US" w:eastAsia="ru-RU"/>
        </w:rPr>
        <w:t xml:space="preserve"> that finance fellowships involving mobility to or from another country</w:t>
      </w:r>
    </w:p>
    <w:p w:rsidR="0006754A" w:rsidRPr="0006754A" w:rsidRDefault="0006754A" w:rsidP="0006754A">
      <w:pPr>
        <w:spacing w:line="240" w:lineRule="auto"/>
        <w:jc w:val="both"/>
        <w:rPr>
          <w:rFonts w:ascii="Arial" w:eastAsia="Times New Roman" w:hAnsi="Arial" w:cs="Arial"/>
          <w:color w:val="002442"/>
          <w:sz w:val="21"/>
          <w:szCs w:val="21"/>
          <w:lang w:val="en-US" w:eastAsia="ru-RU"/>
        </w:rPr>
      </w:pPr>
      <w:proofErr w:type="gramStart"/>
      <w:r w:rsidRPr="0006754A">
        <w:rPr>
          <w:rFonts w:ascii="Arial" w:eastAsia="Times New Roman" w:hAnsi="Arial" w:cs="Arial"/>
          <w:color w:val="002442"/>
          <w:sz w:val="21"/>
          <w:szCs w:val="21"/>
          <w:lang w:val="en-US" w:eastAsia="ru-RU"/>
        </w:rPr>
        <w:t xml:space="preserve">The MSCA offer additional funding to regional, national and international </w:t>
      </w:r>
      <w:proofErr w:type="spellStart"/>
      <w:r w:rsidRPr="0006754A">
        <w:rPr>
          <w:rFonts w:ascii="Arial" w:eastAsia="Times New Roman" w:hAnsi="Arial" w:cs="Arial"/>
          <w:color w:val="002442"/>
          <w:sz w:val="21"/>
          <w:szCs w:val="21"/>
          <w:lang w:val="en-US" w:eastAsia="ru-RU"/>
        </w:rPr>
        <w:t>programmes</w:t>
      </w:r>
      <w:proofErr w:type="spellEnd"/>
      <w:r w:rsidRPr="0006754A">
        <w:rPr>
          <w:rFonts w:ascii="Arial" w:eastAsia="Times New Roman" w:hAnsi="Arial" w:cs="Arial"/>
          <w:color w:val="002442"/>
          <w:sz w:val="21"/>
          <w:szCs w:val="21"/>
          <w:lang w:val="en-US" w:eastAsia="ru-RU"/>
        </w:rPr>
        <w:t xml:space="preserve"> for research training and career development.</w:t>
      </w:r>
      <w:proofErr w:type="gramEnd"/>
      <w:r w:rsidRPr="0006754A">
        <w:rPr>
          <w:rFonts w:ascii="Arial" w:eastAsia="Times New Roman" w:hAnsi="Arial" w:cs="Arial"/>
          <w:color w:val="002442"/>
          <w:sz w:val="21"/>
          <w:szCs w:val="21"/>
          <w:lang w:val="en-US" w:eastAsia="ru-RU"/>
        </w:rPr>
        <w:t xml:space="preserve"> COFUND </w:t>
      </w:r>
      <w:proofErr w:type="spellStart"/>
      <w:r w:rsidRPr="0006754A">
        <w:rPr>
          <w:rFonts w:ascii="Arial" w:eastAsia="Times New Roman" w:hAnsi="Arial" w:cs="Arial"/>
          <w:color w:val="002442"/>
          <w:sz w:val="21"/>
          <w:szCs w:val="21"/>
          <w:lang w:val="en-US" w:eastAsia="ru-RU"/>
        </w:rPr>
        <w:t>programmes</w:t>
      </w:r>
      <w:proofErr w:type="spellEnd"/>
      <w:r w:rsidRPr="0006754A">
        <w:rPr>
          <w:rFonts w:ascii="Arial" w:eastAsia="Times New Roman" w:hAnsi="Arial" w:cs="Arial"/>
          <w:color w:val="002442"/>
          <w:sz w:val="21"/>
          <w:szCs w:val="21"/>
          <w:lang w:val="en-US" w:eastAsia="ru-RU"/>
        </w:rPr>
        <w:t xml:space="preserve"> encourage the movement of researchers across borders and provide good working conditions. The scheme can support doctoral and fellowship </w:t>
      </w:r>
      <w:proofErr w:type="spellStart"/>
      <w:r w:rsidRPr="0006754A">
        <w:rPr>
          <w:rFonts w:ascii="Arial" w:eastAsia="Times New Roman" w:hAnsi="Arial" w:cs="Arial"/>
          <w:color w:val="002442"/>
          <w:sz w:val="21"/>
          <w:szCs w:val="21"/>
          <w:lang w:val="en-US" w:eastAsia="ru-RU"/>
        </w:rPr>
        <w:t>programmes</w:t>
      </w:r>
      <w:proofErr w:type="spellEnd"/>
      <w:r w:rsidRPr="0006754A">
        <w:rPr>
          <w:rFonts w:ascii="Arial" w:eastAsia="Times New Roman" w:hAnsi="Arial" w:cs="Arial"/>
          <w:color w:val="002442"/>
          <w:sz w:val="21"/>
          <w:szCs w:val="21"/>
          <w:lang w:val="en-US" w:eastAsia="ru-RU"/>
        </w:rPr>
        <w:t>.</w:t>
      </w:r>
    </w:p>
    <w:p w:rsidR="0006754A" w:rsidRPr="0006754A" w:rsidRDefault="0006754A" w:rsidP="0006754A">
      <w:pPr>
        <w:spacing w:after="0" w:line="300" w:lineRule="atLeast"/>
        <w:rPr>
          <w:rFonts w:ascii="Arial" w:eastAsia="Times New Roman" w:hAnsi="Arial" w:cs="Arial"/>
          <w:b/>
          <w:bCs/>
          <w:color w:val="002442"/>
          <w:sz w:val="20"/>
          <w:szCs w:val="20"/>
          <w:lang w:val="en-US" w:eastAsia="ru-RU"/>
        </w:rPr>
      </w:pPr>
      <w:r w:rsidRPr="0006754A">
        <w:rPr>
          <w:rFonts w:ascii="Arial" w:eastAsia="Times New Roman" w:hAnsi="Arial" w:cs="Arial"/>
          <w:b/>
          <w:bCs/>
          <w:color w:val="002442"/>
          <w:sz w:val="20"/>
          <w:szCs w:val="20"/>
          <w:lang w:val="en-US" w:eastAsia="ru-RU"/>
        </w:rPr>
        <w:t>Open Calls</w:t>
      </w:r>
    </w:p>
    <w:p w:rsidR="0006754A" w:rsidRPr="0006754A" w:rsidRDefault="0006754A" w:rsidP="0006754A">
      <w:pPr>
        <w:spacing w:after="150" w:line="315" w:lineRule="atLeast"/>
        <w:outlineLvl w:val="4"/>
        <w:rPr>
          <w:rFonts w:ascii="Arial" w:eastAsia="Times New Roman" w:hAnsi="Arial" w:cs="Arial"/>
          <w:b/>
          <w:bCs/>
          <w:color w:val="FF6600"/>
          <w:sz w:val="24"/>
          <w:szCs w:val="24"/>
          <w:lang w:val="en-US" w:eastAsia="ru-RU"/>
        </w:rPr>
      </w:pPr>
      <w:r w:rsidRPr="0006754A">
        <w:rPr>
          <w:rFonts w:ascii="Arial" w:eastAsia="Times New Roman" w:hAnsi="Arial" w:cs="Arial"/>
          <w:b/>
          <w:bCs/>
          <w:color w:val="FF6600"/>
          <w:sz w:val="24"/>
          <w:szCs w:val="24"/>
          <w:lang w:val="en-US" w:eastAsia="ru-RU"/>
        </w:rPr>
        <w:t xml:space="preserve">Apply now for Marie </w:t>
      </w:r>
      <w:proofErr w:type="spellStart"/>
      <w:r w:rsidRPr="0006754A">
        <w:rPr>
          <w:rFonts w:ascii="Arial" w:eastAsia="Times New Roman" w:hAnsi="Arial" w:cs="Arial"/>
          <w:b/>
          <w:bCs/>
          <w:color w:val="FF6600"/>
          <w:sz w:val="24"/>
          <w:szCs w:val="24"/>
          <w:lang w:val="en-US" w:eastAsia="ru-RU"/>
        </w:rPr>
        <w:t>Skłodowska</w:t>
      </w:r>
      <w:proofErr w:type="spellEnd"/>
      <w:r w:rsidRPr="0006754A">
        <w:rPr>
          <w:rFonts w:ascii="Arial" w:eastAsia="Times New Roman" w:hAnsi="Arial" w:cs="Arial"/>
          <w:b/>
          <w:bCs/>
          <w:color w:val="FF6600"/>
          <w:sz w:val="24"/>
          <w:szCs w:val="24"/>
          <w:lang w:val="en-US" w:eastAsia="ru-RU"/>
        </w:rPr>
        <w:t>-Curie actions research fellowship</w:t>
      </w:r>
    </w:p>
    <w:p w:rsidR="0006754A" w:rsidRPr="0006754A" w:rsidRDefault="0006754A" w:rsidP="0006754A">
      <w:pPr>
        <w:spacing w:line="240" w:lineRule="auto"/>
        <w:rPr>
          <w:rFonts w:ascii="Arial" w:eastAsia="Times New Roman" w:hAnsi="Arial" w:cs="Arial"/>
          <w:color w:val="002442"/>
          <w:sz w:val="21"/>
          <w:szCs w:val="21"/>
          <w:lang w:val="en-US" w:eastAsia="ru-RU"/>
        </w:rPr>
      </w:pPr>
      <w:hyperlink r:id="rId10" w:history="1">
        <w:r w:rsidRPr="0006754A">
          <w:rPr>
            <w:rFonts w:ascii="Arial" w:eastAsia="Times New Roman" w:hAnsi="Arial" w:cs="Arial"/>
            <w:b/>
            <w:bCs/>
            <w:color w:val="1E73BE"/>
            <w:sz w:val="21"/>
            <w:szCs w:val="21"/>
            <w:lang w:val="en-US" w:eastAsia="ru-RU"/>
          </w:rPr>
          <w:t>http://ec.europa.eu/research/mariecurieactions/apply-now/open-calls/index_en.htm</w:t>
        </w:r>
      </w:hyperlink>
    </w:p>
    <w:p w:rsidR="0006754A" w:rsidRPr="0006754A" w:rsidRDefault="0006754A" w:rsidP="0006754A">
      <w:pPr>
        <w:spacing w:after="0" w:line="300" w:lineRule="atLeast"/>
        <w:rPr>
          <w:rFonts w:ascii="Arial" w:eastAsia="Times New Roman" w:hAnsi="Arial" w:cs="Arial"/>
          <w:b/>
          <w:bCs/>
          <w:color w:val="002442"/>
          <w:sz w:val="20"/>
          <w:szCs w:val="20"/>
          <w:lang w:val="en-US" w:eastAsia="ru-RU"/>
        </w:rPr>
      </w:pPr>
      <w:r w:rsidRPr="0006754A">
        <w:rPr>
          <w:rFonts w:ascii="Arial" w:eastAsia="Times New Roman" w:hAnsi="Arial" w:cs="Arial"/>
          <w:b/>
          <w:bCs/>
          <w:color w:val="002442"/>
          <w:sz w:val="20"/>
          <w:szCs w:val="20"/>
          <w:lang w:val="en-US" w:eastAsia="ru-RU"/>
        </w:rPr>
        <w:t>Online resources</w:t>
      </w:r>
    </w:p>
    <w:p w:rsidR="0006754A" w:rsidRPr="0006754A" w:rsidRDefault="0006754A" w:rsidP="0006754A">
      <w:pPr>
        <w:spacing w:after="150" w:line="240" w:lineRule="auto"/>
        <w:outlineLvl w:val="5"/>
        <w:rPr>
          <w:rFonts w:ascii="Helvetica" w:eastAsia="Times New Roman" w:hAnsi="Helvetica" w:cs="Arial"/>
          <w:color w:val="FF6600"/>
          <w:sz w:val="18"/>
          <w:szCs w:val="18"/>
          <w:lang w:val="en-US" w:eastAsia="ru-RU"/>
        </w:rPr>
      </w:pPr>
      <w:proofErr w:type="gramStart"/>
      <w:r w:rsidRPr="0006754A">
        <w:rPr>
          <w:rFonts w:ascii="Helvetica" w:eastAsia="Times New Roman" w:hAnsi="Helvetica" w:cs="Arial"/>
          <w:b/>
          <w:bCs/>
          <w:color w:val="FF6600"/>
          <w:sz w:val="18"/>
          <w:szCs w:val="18"/>
          <w:lang w:val="en-US" w:eastAsia="ru-RU"/>
        </w:rPr>
        <w:t>for</w:t>
      </w:r>
      <w:proofErr w:type="gramEnd"/>
      <w:r w:rsidRPr="0006754A">
        <w:rPr>
          <w:rFonts w:ascii="Helvetica" w:eastAsia="Times New Roman" w:hAnsi="Helvetica" w:cs="Arial"/>
          <w:b/>
          <w:bCs/>
          <w:color w:val="FF6600"/>
          <w:sz w:val="18"/>
          <w:szCs w:val="18"/>
          <w:lang w:val="en-US" w:eastAsia="ru-RU"/>
        </w:rPr>
        <w:t xml:space="preserve"> Marie </w:t>
      </w:r>
      <w:proofErr w:type="spellStart"/>
      <w:r w:rsidRPr="0006754A">
        <w:rPr>
          <w:rFonts w:ascii="Helvetica" w:eastAsia="Times New Roman" w:hAnsi="Helvetica" w:cs="Arial"/>
          <w:b/>
          <w:bCs/>
          <w:color w:val="FF6600"/>
          <w:sz w:val="18"/>
          <w:szCs w:val="18"/>
          <w:lang w:val="en-US" w:eastAsia="ru-RU"/>
        </w:rPr>
        <w:t>Skłodowska</w:t>
      </w:r>
      <w:proofErr w:type="spellEnd"/>
      <w:r w:rsidRPr="0006754A">
        <w:rPr>
          <w:rFonts w:ascii="Helvetica" w:eastAsia="Times New Roman" w:hAnsi="Helvetica" w:cs="Arial"/>
          <w:b/>
          <w:bCs/>
          <w:color w:val="FF6600"/>
          <w:sz w:val="18"/>
          <w:szCs w:val="18"/>
          <w:lang w:val="en-US" w:eastAsia="ru-RU"/>
        </w:rPr>
        <w:t>-Curie actions research fellowship</w:t>
      </w:r>
    </w:p>
    <w:p w:rsidR="0006754A" w:rsidRPr="0006754A" w:rsidRDefault="0006754A" w:rsidP="0006754A">
      <w:pPr>
        <w:spacing w:line="240" w:lineRule="auto"/>
        <w:rPr>
          <w:rFonts w:ascii="Arial" w:eastAsia="Times New Roman" w:hAnsi="Arial" w:cs="Arial"/>
          <w:color w:val="002442"/>
          <w:sz w:val="21"/>
          <w:szCs w:val="21"/>
          <w:lang w:val="en-US" w:eastAsia="ru-RU"/>
        </w:rPr>
      </w:pPr>
      <w:r w:rsidRPr="0006754A">
        <w:rPr>
          <w:rFonts w:ascii="Arial" w:eastAsia="Times New Roman" w:hAnsi="Arial" w:cs="Arial"/>
          <w:b/>
          <w:bCs/>
          <w:color w:val="8BB212"/>
          <w:sz w:val="21"/>
          <w:szCs w:val="21"/>
          <w:lang w:val="en-US" w:eastAsia="ru-RU"/>
        </w:rPr>
        <w:t xml:space="preserve">Marie </w:t>
      </w:r>
      <w:proofErr w:type="spellStart"/>
      <w:r w:rsidRPr="0006754A">
        <w:rPr>
          <w:rFonts w:ascii="Arial" w:eastAsia="Times New Roman" w:hAnsi="Arial" w:cs="Arial"/>
          <w:b/>
          <w:bCs/>
          <w:color w:val="8BB212"/>
          <w:sz w:val="21"/>
          <w:szCs w:val="21"/>
          <w:lang w:val="en-US" w:eastAsia="ru-RU"/>
        </w:rPr>
        <w:t>Skłodowska</w:t>
      </w:r>
      <w:proofErr w:type="spellEnd"/>
      <w:r w:rsidRPr="0006754A">
        <w:rPr>
          <w:rFonts w:ascii="Arial" w:eastAsia="Times New Roman" w:hAnsi="Arial" w:cs="Arial"/>
          <w:b/>
          <w:bCs/>
          <w:color w:val="8BB212"/>
          <w:sz w:val="21"/>
          <w:szCs w:val="21"/>
          <w:lang w:val="en-US" w:eastAsia="ru-RU"/>
        </w:rPr>
        <w:t>-Curie actions website</w:t>
      </w:r>
      <w:r w:rsidRPr="0006754A">
        <w:rPr>
          <w:rFonts w:ascii="Arial" w:eastAsia="Times New Roman" w:hAnsi="Arial" w:cs="Arial"/>
          <w:color w:val="002442"/>
          <w:sz w:val="21"/>
          <w:szCs w:val="21"/>
          <w:lang w:val="en-US" w:eastAsia="ru-RU"/>
        </w:rPr>
        <w:br/>
      </w:r>
      <w:hyperlink r:id="rId11" w:history="1">
        <w:r w:rsidRPr="0006754A">
          <w:rPr>
            <w:rFonts w:ascii="Arial" w:eastAsia="Times New Roman" w:hAnsi="Arial" w:cs="Arial"/>
            <w:b/>
            <w:bCs/>
            <w:color w:val="1E73BE"/>
            <w:sz w:val="21"/>
            <w:szCs w:val="21"/>
            <w:lang w:val="en-US" w:eastAsia="ru-RU"/>
          </w:rPr>
          <w:t>http://ec.europa.eu/msca</w:t>
        </w:r>
      </w:hyperlink>
      <w:r w:rsidRPr="0006754A">
        <w:rPr>
          <w:rFonts w:ascii="Arial" w:eastAsia="Times New Roman" w:hAnsi="Arial" w:cs="Arial"/>
          <w:color w:val="002442"/>
          <w:sz w:val="21"/>
          <w:szCs w:val="21"/>
          <w:lang w:val="en-US" w:eastAsia="ru-RU"/>
        </w:rPr>
        <w:br/>
      </w:r>
      <w:r w:rsidRPr="0006754A">
        <w:rPr>
          <w:rFonts w:ascii="Arial" w:eastAsia="Times New Roman" w:hAnsi="Arial" w:cs="Arial"/>
          <w:b/>
          <w:bCs/>
          <w:color w:val="8BB212"/>
          <w:sz w:val="21"/>
          <w:szCs w:val="21"/>
          <w:lang w:val="en-US" w:eastAsia="ru-RU"/>
        </w:rPr>
        <w:lastRenderedPageBreak/>
        <w:t xml:space="preserve">Marie </w:t>
      </w:r>
      <w:proofErr w:type="spellStart"/>
      <w:r w:rsidRPr="0006754A">
        <w:rPr>
          <w:rFonts w:ascii="Arial" w:eastAsia="Times New Roman" w:hAnsi="Arial" w:cs="Arial"/>
          <w:b/>
          <w:bCs/>
          <w:color w:val="8BB212"/>
          <w:sz w:val="21"/>
          <w:szCs w:val="21"/>
          <w:lang w:val="en-US" w:eastAsia="ru-RU"/>
        </w:rPr>
        <w:t>Skłodowska</w:t>
      </w:r>
      <w:proofErr w:type="spellEnd"/>
      <w:r w:rsidRPr="0006754A">
        <w:rPr>
          <w:rFonts w:ascii="Arial" w:eastAsia="Times New Roman" w:hAnsi="Arial" w:cs="Arial"/>
          <w:b/>
          <w:bCs/>
          <w:color w:val="8BB212"/>
          <w:sz w:val="21"/>
          <w:szCs w:val="21"/>
          <w:lang w:val="en-US" w:eastAsia="ru-RU"/>
        </w:rPr>
        <w:t>-Curie actions on Facebook</w:t>
      </w:r>
      <w:r w:rsidRPr="0006754A">
        <w:rPr>
          <w:rFonts w:ascii="Arial" w:eastAsia="Times New Roman" w:hAnsi="Arial" w:cs="Arial"/>
          <w:color w:val="002442"/>
          <w:sz w:val="21"/>
          <w:szCs w:val="21"/>
          <w:lang w:val="en-US" w:eastAsia="ru-RU"/>
        </w:rPr>
        <w:br/>
      </w:r>
      <w:hyperlink r:id="rId12" w:history="1">
        <w:r w:rsidRPr="0006754A">
          <w:rPr>
            <w:rFonts w:ascii="Arial" w:eastAsia="Times New Roman" w:hAnsi="Arial" w:cs="Arial"/>
            <w:b/>
            <w:bCs/>
            <w:color w:val="1E73BE"/>
            <w:sz w:val="21"/>
            <w:szCs w:val="21"/>
            <w:lang w:val="en-US" w:eastAsia="ru-RU"/>
          </w:rPr>
          <w:t>https://www.facebook.com/Marie.Curie.Actions</w:t>
        </w:r>
      </w:hyperlink>
      <w:r w:rsidRPr="0006754A">
        <w:rPr>
          <w:rFonts w:ascii="Arial" w:eastAsia="Times New Roman" w:hAnsi="Arial" w:cs="Arial"/>
          <w:color w:val="002442"/>
          <w:sz w:val="21"/>
          <w:szCs w:val="21"/>
          <w:lang w:val="en-US" w:eastAsia="ru-RU"/>
        </w:rPr>
        <w:br/>
      </w:r>
      <w:r w:rsidRPr="0006754A">
        <w:rPr>
          <w:rFonts w:ascii="Arial" w:eastAsia="Times New Roman" w:hAnsi="Arial" w:cs="Arial"/>
          <w:b/>
          <w:bCs/>
          <w:color w:val="8BB212"/>
          <w:sz w:val="21"/>
          <w:szCs w:val="21"/>
          <w:lang w:val="en-US" w:eastAsia="ru-RU"/>
        </w:rPr>
        <w:t xml:space="preserve">Marie </w:t>
      </w:r>
      <w:proofErr w:type="spellStart"/>
      <w:r w:rsidRPr="0006754A">
        <w:rPr>
          <w:rFonts w:ascii="Arial" w:eastAsia="Times New Roman" w:hAnsi="Arial" w:cs="Arial"/>
          <w:b/>
          <w:bCs/>
          <w:color w:val="8BB212"/>
          <w:sz w:val="21"/>
          <w:szCs w:val="21"/>
          <w:lang w:val="en-US" w:eastAsia="ru-RU"/>
        </w:rPr>
        <w:t>Skłodowska</w:t>
      </w:r>
      <w:proofErr w:type="spellEnd"/>
      <w:r w:rsidRPr="0006754A">
        <w:rPr>
          <w:rFonts w:ascii="Arial" w:eastAsia="Times New Roman" w:hAnsi="Arial" w:cs="Arial"/>
          <w:b/>
          <w:bCs/>
          <w:color w:val="8BB212"/>
          <w:sz w:val="21"/>
          <w:szCs w:val="21"/>
          <w:lang w:val="en-US" w:eastAsia="ru-RU"/>
        </w:rPr>
        <w:t>-Curie actions on Twitter</w:t>
      </w:r>
      <w:r w:rsidRPr="0006754A">
        <w:rPr>
          <w:rFonts w:ascii="Arial" w:eastAsia="Times New Roman" w:hAnsi="Arial" w:cs="Arial"/>
          <w:color w:val="002442"/>
          <w:sz w:val="21"/>
          <w:szCs w:val="21"/>
          <w:lang w:val="en-US" w:eastAsia="ru-RU"/>
        </w:rPr>
        <w:br/>
      </w:r>
      <w:hyperlink r:id="rId13" w:history="1">
        <w:r w:rsidRPr="0006754A">
          <w:rPr>
            <w:rFonts w:ascii="Arial" w:eastAsia="Times New Roman" w:hAnsi="Arial" w:cs="Arial"/>
            <w:b/>
            <w:bCs/>
            <w:color w:val="1E73BE"/>
            <w:sz w:val="21"/>
            <w:szCs w:val="21"/>
            <w:lang w:val="en-US" w:eastAsia="ru-RU"/>
          </w:rPr>
          <w:t>https://twitter.com/MSCActions</w:t>
        </w:r>
      </w:hyperlink>
    </w:p>
    <w:p w:rsidR="000C5418" w:rsidRPr="0006754A" w:rsidRDefault="000C5418">
      <w:pPr>
        <w:rPr>
          <w:lang w:val="en-US"/>
        </w:rPr>
      </w:pPr>
    </w:p>
    <w:sectPr w:rsidR="000C5418" w:rsidRPr="00067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4A"/>
    <w:rsid w:val="0006754A"/>
    <w:rsid w:val="000C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75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06754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06754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54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06754A"/>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6754A"/>
    <w:rPr>
      <w:rFonts w:ascii="Times New Roman" w:eastAsia="Times New Roman" w:hAnsi="Times New Roman" w:cs="Times New Roman"/>
      <w:b/>
      <w:bCs/>
      <w:sz w:val="15"/>
      <w:szCs w:val="15"/>
      <w:lang w:eastAsia="ru-RU"/>
    </w:rPr>
  </w:style>
  <w:style w:type="character" w:styleId="a3">
    <w:name w:val="Strong"/>
    <w:basedOn w:val="a0"/>
    <w:uiPriority w:val="22"/>
    <w:qFormat/>
    <w:rsid w:val="0006754A"/>
    <w:rPr>
      <w:b/>
      <w:bCs/>
    </w:rPr>
  </w:style>
  <w:style w:type="paragraph" w:styleId="a4">
    <w:name w:val="Normal (Web)"/>
    <w:basedOn w:val="a"/>
    <w:uiPriority w:val="99"/>
    <w:semiHidden/>
    <w:unhideWhenUsed/>
    <w:rsid w:val="00067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6754A"/>
    <w:rPr>
      <w:color w:val="0000FF"/>
      <w:u w:val="single"/>
    </w:rPr>
  </w:style>
  <w:style w:type="paragraph" w:styleId="a6">
    <w:name w:val="Balloon Text"/>
    <w:basedOn w:val="a"/>
    <w:link w:val="a7"/>
    <w:uiPriority w:val="99"/>
    <w:semiHidden/>
    <w:unhideWhenUsed/>
    <w:rsid w:val="000675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75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06754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06754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54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06754A"/>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6754A"/>
    <w:rPr>
      <w:rFonts w:ascii="Times New Roman" w:eastAsia="Times New Roman" w:hAnsi="Times New Roman" w:cs="Times New Roman"/>
      <w:b/>
      <w:bCs/>
      <w:sz w:val="15"/>
      <w:szCs w:val="15"/>
      <w:lang w:eastAsia="ru-RU"/>
    </w:rPr>
  </w:style>
  <w:style w:type="character" w:styleId="a3">
    <w:name w:val="Strong"/>
    <w:basedOn w:val="a0"/>
    <w:uiPriority w:val="22"/>
    <w:qFormat/>
    <w:rsid w:val="0006754A"/>
    <w:rPr>
      <w:b/>
      <w:bCs/>
    </w:rPr>
  </w:style>
  <w:style w:type="paragraph" w:styleId="a4">
    <w:name w:val="Normal (Web)"/>
    <w:basedOn w:val="a"/>
    <w:uiPriority w:val="99"/>
    <w:semiHidden/>
    <w:unhideWhenUsed/>
    <w:rsid w:val="00067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6754A"/>
    <w:rPr>
      <w:color w:val="0000FF"/>
      <w:u w:val="single"/>
    </w:rPr>
  </w:style>
  <w:style w:type="paragraph" w:styleId="a6">
    <w:name w:val="Balloon Text"/>
    <w:basedOn w:val="a"/>
    <w:link w:val="a7"/>
    <w:uiPriority w:val="99"/>
    <w:semiHidden/>
    <w:unhideWhenUsed/>
    <w:rsid w:val="000675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554367">
      <w:bodyDiv w:val="1"/>
      <w:marLeft w:val="0"/>
      <w:marRight w:val="0"/>
      <w:marTop w:val="0"/>
      <w:marBottom w:val="0"/>
      <w:divBdr>
        <w:top w:val="none" w:sz="0" w:space="0" w:color="auto"/>
        <w:left w:val="none" w:sz="0" w:space="0" w:color="auto"/>
        <w:bottom w:val="none" w:sz="0" w:space="0" w:color="auto"/>
        <w:right w:val="none" w:sz="0" w:space="0" w:color="auto"/>
      </w:divBdr>
      <w:divsChild>
        <w:div w:id="1526481028">
          <w:marLeft w:val="0"/>
          <w:marRight w:val="0"/>
          <w:marTop w:val="0"/>
          <w:marBottom w:val="0"/>
          <w:divBdr>
            <w:top w:val="none" w:sz="0" w:space="0" w:color="auto"/>
            <w:left w:val="none" w:sz="0" w:space="0" w:color="auto"/>
            <w:bottom w:val="none" w:sz="0" w:space="0" w:color="auto"/>
            <w:right w:val="none" w:sz="0" w:space="0" w:color="auto"/>
          </w:divBdr>
          <w:divsChild>
            <w:div w:id="901675696">
              <w:marLeft w:val="0"/>
              <w:marRight w:val="0"/>
              <w:marTop w:val="0"/>
              <w:marBottom w:val="0"/>
              <w:divBdr>
                <w:top w:val="none" w:sz="0" w:space="0" w:color="auto"/>
                <w:left w:val="none" w:sz="0" w:space="0" w:color="auto"/>
                <w:bottom w:val="none" w:sz="0" w:space="0" w:color="auto"/>
                <w:right w:val="none" w:sz="0" w:space="0" w:color="auto"/>
              </w:divBdr>
              <w:divsChild>
                <w:div w:id="144102603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95079491">
          <w:marLeft w:val="0"/>
          <w:marRight w:val="0"/>
          <w:marTop w:val="0"/>
          <w:marBottom w:val="0"/>
          <w:divBdr>
            <w:top w:val="none" w:sz="0" w:space="0" w:color="auto"/>
            <w:left w:val="none" w:sz="0" w:space="0" w:color="auto"/>
            <w:bottom w:val="none" w:sz="0" w:space="0" w:color="auto"/>
            <w:right w:val="none" w:sz="0" w:space="0" w:color="auto"/>
          </w:divBdr>
          <w:divsChild>
            <w:div w:id="1984499665">
              <w:marLeft w:val="-225"/>
              <w:marRight w:val="-225"/>
              <w:marTop w:val="0"/>
              <w:marBottom w:val="0"/>
              <w:divBdr>
                <w:top w:val="none" w:sz="0" w:space="0" w:color="auto"/>
                <w:left w:val="none" w:sz="0" w:space="0" w:color="auto"/>
                <w:bottom w:val="none" w:sz="0" w:space="0" w:color="auto"/>
                <w:right w:val="none" w:sz="0" w:space="0" w:color="auto"/>
              </w:divBdr>
              <w:divsChild>
                <w:div w:id="759446352">
                  <w:marLeft w:val="0"/>
                  <w:marRight w:val="0"/>
                  <w:marTop w:val="0"/>
                  <w:marBottom w:val="0"/>
                  <w:divBdr>
                    <w:top w:val="none" w:sz="0" w:space="0" w:color="auto"/>
                    <w:left w:val="none" w:sz="0" w:space="0" w:color="auto"/>
                    <w:bottom w:val="none" w:sz="0" w:space="0" w:color="auto"/>
                    <w:right w:val="none" w:sz="0" w:space="0" w:color="auto"/>
                  </w:divBdr>
                  <w:divsChild>
                    <w:div w:id="1747068603">
                      <w:marLeft w:val="0"/>
                      <w:marRight w:val="0"/>
                      <w:marTop w:val="0"/>
                      <w:marBottom w:val="360"/>
                      <w:divBdr>
                        <w:top w:val="none" w:sz="0" w:space="0" w:color="auto"/>
                        <w:left w:val="none" w:sz="0" w:space="0" w:color="auto"/>
                        <w:bottom w:val="none" w:sz="0" w:space="0" w:color="auto"/>
                        <w:right w:val="none" w:sz="0" w:space="0" w:color="auto"/>
                      </w:divBdr>
                      <w:divsChild>
                        <w:div w:id="726300054">
                          <w:marLeft w:val="0"/>
                          <w:marRight w:val="0"/>
                          <w:marTop w:val="0"/>
                          <w:marBottom w:val="0"/>
                          <w:divBdr>
                            <w:top w:val="none" w:sz="0" w:space="0" w:color="auto"/>
                            <w:left w:val="none" w:sz="0" w:space="0" w:color="auto"/>
                            <w:bottom w:val="none" w:sz="0" w:space="0" w:color="auto"/>
                            <w:right w:val="none" w:sz="0" w:space="0" w:color="auto"/>
                          </w:divBdr>
                        </w:div>
                        <w:div w:id="540897033">
                          <w:marLeft w:val="0"/>
                          <w:marRight w:val="0"/>
                          <w:marTop w:val="0"/>
                          <w:marBottom w:val="0"/>
                          <w:divBdr>
                            <w:top w:val="none" w:sz="0" w:space="0" w:color="auto"/>
                            <w:left w:val="none" w:sz="0" w:space="0" w:color="auto"/>
                            <w:bottom w:val="none" w:sz="0" w:space="0" w:color="auto"/>
                            <w:right w:val="none" w:sz="0" w:space="0" w:color="auto"/>
                          </w:divBdr>
                        </w:div>
                      </w:divsChild>
                    </w:div>
                    <w:div w:id="1252592783">
                      <w:marLeft w:val="0"/>
                      <w:marRight w:val="0"/>
                      <w:marTop w:val="0"/>
                      <w:marBottom w:val="360"/>
                      <w:divBdr>
                        <w:top w:val="none" w:sz="0" w:space="0" w:color="auto"/>
                        <w:left w:val="none" w:sz="0" w:space="0" w:color="auto"/>
                        <w:bottom w:val="none" w:sz="0" w:space="0" w:color="auto"/>
                        <w:right w:val="none" w:sz="0" w:space="0" w:color="auto"/>
                      </w:divBdr>
                      <w:divsChild>
                        <w:div w:id="1815875137">
                          <w:marLeft w:val="0"/>
                          <w:marRight w:val="0"/>
                          <w:marTop w:val="0"/>
                          <w:marBottom w:val="0"/>
                          <w:divBdr>
                            <w:top w:val="none" w:sz="0" w:space="0" w:color="auto"/>
                            <w:left w:val="none" w:sz="0" w:space="0" w:color="auto"/>
                            <w:bottom w:val="none" w:sz="0" w:space="0" w:color="auto"/>
                            <w:right w:val="none" w:sz="0" w:space="0" w:color="auto"/>
                          </w:divBdr>
                        </w:div>
                        <w:div w:id="1377699649">
                          <w:marLeft w:val="0"/>
                          <w:marRight w:val="0"/>
                          <w:marTop w:val="0"/>
                          <w:marBottom w:val="0"/>
                          <w:divBdr>
                            <w:top w:val="none" w:sz="0" w:space="0" w:color="auto"/>
                            <w:left w:val="none" w:sz="0" w:space="0" w:color="auto"/>
                            <w:bottom w:val="none" w:sz="0" w:space="0" w:color="auto"/>
                            <w:right w:val="none" w:sz="0" w:space="0" w:color="auto"/>
                          </w:divBdr>
                        </w:div>
                      </w:divsChild>
                    </w:div>
                    <w:div w:id="1986931283">
                      <w:marLeft w:val="0"/>
                      <w:marRight w:val="0"/>
                      <w:marTop w:val="0"/>
                      <w:marBottom w:val="360"/>
                      <w:divBdr>
                        <w:top w:val="none" w:sz="0" w:space="0" w:color="auto"/>
                        <w:left w:val="none" w:sz="0" w:space="0" w:color="auto"/>
                        <w:bottom w:val="none" w:sz="0" w:space="0" w:color="auto"/>
                        <w:right w:val="none" w:sz="0" w:space="0" w:color="auto"/>
                      </w:divBdr>
                      <w:divsChild>
                        <w:div w:id="1375501209">
                          <w:marLeft w:val="0"/>
                          <w:marRight w:val="0"/>
                          <w:marTop w:val="0"/>
                          <w:marBottom w:val="0"/>
                          <w:divBdr>
                            <w:top w:val="none" w:sz="0" w:space="0" w:color="auto"/>
                            <w:left w:val="none" w:sz="0" w:space="0" w:color="auto"/>
                            <w:bottom w:val="none" w:sz="0" w:space="0" w:color="auto"/>
                            <w:right w:val="none" w:sz="0" w:space="0" w:color="auto"/>
                          </w:divBdr>
                        </w:div>
                        <w:div w:id="1479374719">
                          <w:marLeft w:val="0"/>
                          <w:marRight w:val="0"/>
                          <w:marTop w:val="0"/>
                          <w:marBottom w:val="0"/>
                          <w:divBdr>
                            <w:top w:val="none" w:sz="0" w:space="0" w:color="auto"/>
                            <w:left w:val="none" w:sz="0" w:space="0" w:color="auto"/>
                            <w:bottom w:val="none" w:sz="0" w:space="0" w:color="auto"/>
                            <w:right w:val="none" w:sz="0" w:space="0" w:color="auto"/>
                          </w:divBdr>
                        </w:div>
                      </w:divsChild>
                    </w:div>
                    <w:div w:id="494108504">
                      <w:marLeft w:val="0"/>
                      <w:marRight w:val="0"/>
                      <w:marTop w:val="0"/>
                      <w:marBottom w:val="360"/>
                      <w:divBdr>
                        <w:top w:val="none" w:sz="0" w:space="0" w:color="auto"/>
                        <w:left w:val="none" w:sz="0" w:space="0" w:color="auto"/>
                        <w:bottom w:val="none" w:sz="0" w:space="0" w:color="auto"/>
                        <w:right w:val="none" w:sz="0" w:space="0" w:color="auto"/>
                      </w:divBdr>
                      <w:divsChild>
                        <w:div w:id="1174874820">
                          <w:marLeft w:val="0"/>
                          <w:marRight w:val="0"/>
                          <w:marTop w:val="0"/>
                          <w:marBottom w:val="0"/>
                          <w:divBdr>
                            <w:top w:val="none" w:sz="0" w:space="0" w:color="auto"/>
                            <w:left w:val="none" w:sz="0" w:space="0" w:color="auto"/>
                            <w:bottom w:val="none" w:sz="0" w:space="0" w:color="auto"/>
                            <w:right w:val="none" w:sz="0" w:space="0" w:color="auto"/>
                          </w:divBdr>
                        </w:div>
                        <w:div w:id="890967179">
                          <w:marLeft w:val="0"/>
                          <w:marRight w:val="0"/>
                          <w:marTop w:val="0"/>
                          <w:marBottom w:val="0"/>
                          <w:divBdr>
                            <w:top w:val="none" w:sz="0" w:space="0" w:color="auto"/>
                            <w:left w:val="none" w:sz="0" w:space="0" w:color="auto"/>
                            <w:bottom w:val="none" w:sz="0" w:space="0" w:color="auto"/>
                            <w:right w:val="none" w:sz="0" w:space="0" w:color="auto"/>
                          </w:divBdr>
                        </w:div>
                      </w:divsChild>
                    </w:div>
                    <w:div w:id="631667502">
                      <w:marLeft w:val="0"/>
                      <w:marRight w:val="0"/>
                      <w:marTop w:val="0"/>
                      <w:marBottom w:val="360"/>
                      <w:divBdr>
                        <w:top w:val="none" w:sz="0" w:space="0" w:color="auto"/>
                        <w:left w:val="none" w:sz="0" w:space="0" w:color="auto"/>
                        <w:bottom w:val="none" w:sz="0" w:space="0" w:color="auto"/>
                        <w:right w:val="none" w:sz="0" w:space="0" w:color="auto"/>
                      </w:divBdr>
                      <w:divsChild>
                        <w:div w:id="1942569035">
                          <w:marLeft w:val="0"/>
                          <w:marRight w:val="0"/>
                          <w:marTop w:val="0"/>
                          <w:marBottom w:val="0"/>
                          <w:divBdr>
                            <w:top w:val="none" w:sz="0" w:space="0" w:color="auto"/>
                            <w:left w:val="none" w:sz="0" w:space="0" w:color="auto"/>
                            <w:bottom w:val="none" w:sz="0" w:space="0" w:color="auto"/>
                            <w:right w:val="none" w:sz="0" w:space="0" w:color="auto"/>
                          </w:divBdr>
                        </w:div>
                        <w:div w:id="375202893">
                          <w:marLeft w:val="0"/>
                          <w:marRight w:val="0"/>
                          <w:marTop w:val="0"/>
                          <w:marBottom w:val="0"/>
                          <w:divBdr>
                            <w:top w:val="none" w:sz="0" w:space="0" w:color="auto"/>
                            <w:left w:val="none" w:sz="0" w:space="0" w:color="auto"/>
                            <w:bottom w:val="none" w:sz="0" w:space="0" w:color="auto"/>
                            <w:right w:val="none" w:sz="0" w:space="0" w:color="auto"/>
                          </w:divBdr>
                        </w:div>
                      </w:divsChild>
                    </w:div>
                    <w:div w:id="1319531209">
                      <w:marLeft w:val="0"/>
                      <w:marRight w:val="0"/>
                      <w:marTop w:val="0"/>
                      <w:marBottom w:val="360"/>
                      <w:divBdr>
                        <w:top w:val="none" w:sz="0" w:space="0" w:color="auto"/>
                        <w:left w:val="none" w:sz="0" w:space="0" w:color="auto"/>
                        <w:bottom w:val="none" w:sz="0" w:space="0" w:color="auto"/>
                        <w:right w:val="none" w:sz="0" w:space="0" w:color="auto"/>
                      </w:divBdr>
                      <w:divsChild>
                        <w:div w:id="1030762556">
                          <w:marLeft w:val="0"/>
                          <w:marRight w:val="0"/>
                          <w:marTop w:val="0"/>
                          <w:marBottom w:val="0"/>
                          <w:divBdr>
                            <w:top w:val="none" w:sz="0" w:space="0" w:color="auto"/>
                            <w:left w:val="none" w:sz="0" w:space="0" w:color="auto"/>
                            <w:bottom w:val="none" w:sz="0" w:space="0" w:color="auto"/>
                            <w:right w:val="none" w:sz="0" w:space="0" w:color="auto"/>
                          </w:divBdr>
                        </w:div>
                        <w:div w:id="2103916266">
                          <w:marLeft w:val="0"/>
                          <w:marRight w:val="0"/>
                          <w:marTop w:val="0"/>
                          <w:marBottom w:val="0"/>
                          <w:divBdr>
                            <w:top w:val="none" w:sz="0" w:space="0" w:color="auto"/>
                            <w:left w:val="none" w:sz="0" w:space="0" w:color="auto"/>
                            <w:bottom w:val="none" w:sz="0" w:space="0" w:color="auto"/>
                            <w:right w:val="none" w:sz="0" w:space="0" w:color="auto"/>
                          </w:divBdr>
                        </w:div>
                      </w:divsChild>
                    </w:div>
                    <w:div w:id="1255213719">
                      <w:marLeft w:val="0"/>
                      <w:marRight w:val="0"/>
                      <w:marTop w:val="0"/>
                      <w:marBottom w:val="360"/>
                      <w:divBdr>
                        <w:top w:val="none" w:sz="0" w:space="0" w:color="auto"/>
                        <w:left w:val="none" w:sz="0" w:space="0" w:color="auto"/>
                        <w:bottom w:val="none" w:sz="0" w:space="0" w:color="auto"/>
                        <w:right w:val="none" w:sz="0" w:space="0" w:color="auto"/>
                      </w:divBdr>
                      <w:divsChild>
                        <w:div w:id="646519154">
                          <w:marLeft w:val="0"/>
                          <w:marRight w:val="0"/>
                          <w:marTop w:val="0"/>
                          <w:marBottom w:val="0"/>
                          <w:divBdr>
                            <w:top w:val="none" w:sz="0" w:space="0" w:color="auto"/>
                            <w:left w:val="none" w:sz="0" w:space="0" w:color="auto"/>
                            <w:bottom w:val="none" w:sz="0" w:space="0" w:color="auto"/>
                            <w:right w:val="none" w:sz="0" w:space="0" w:color="auto"/>
                          </w:divBdr>
                        </w:div>
                        <w:div w:id="800147249">
                          <w:marLeft w:val="0"/>
                          <w:marRight w:val="0"/>
                          <w:marTop w:val="0"/>
                          <w:marBottom w:val="0"/>
                          <w:divBdr>
                            <w:top w:val="none" w:sz="0" w:space="0" w:color="auto"/>
                            <w:left w:val="none" w:sz="0" w:space="0" w:color="auto"/>
                            <w:bottom w:val="none" w:sz="0" w:space="0" w:color="auto"/>
                            <w:right w:val="none" w:sz="0" w:space="0" w:color="auto"/>
                          </w:divBdr>
                        </w:div>
                      </w:divsChild>
                    </w:div>
                    <w:div w:id="1924338444">
                      <w:marLeft w:val="0"/>
                      <w:marRight w:val="0"/>
                      <w:marTop w:val="0"/>
                      <w:marBottom w:val="360"/>
                      <w:divBdr>
                        <w:top w:val="none" w:sz="0" w:space="0" w:color="auto"/>
                        <w:left w:val="none" w:sz="0" w:space="0" w:color="auto"/>
                        <w:bottom w:val="none" w:sz="0" w:space="0" w:color="auto"/>
                        <w:right w:val="none" w:sz="0" w:space="0" w:color="auto"/>
                      </w:divBdr>
                      <w:divsChild>
                        <w:div w:id="1560896307">
                          <w:marLeft w:val="0"/>
                          <w:marRight w:val="0"/>
                          <w:marTop w:val="0"/>
                          <w:marBottom w:val="0"/>
                          <w:divBdr>
                            <w:top w:val="none" w:sz="0" w:space="0" w:color="auto"/>
                            <w:left w:val="none" w:sz="0" w:space="0" w:color="auto"/>
                            <w:bottom w:val="none" w:sz="0" w:space="0" w:color="auto"/>
                            <w:right w:val="none" w:sz="0" w:space="0" w:color="auto"/>
                          </w:divBdr>
                        </w:div>
                        <w:div w:id="1031878796">
                          <w:marLeft w:val="0"/>
                          <w:marRight w:val="0"/>
                          <w:marTop w:val="0"/>
                          <w:marBottom w:val="0"/>
                          <w:divBdr>
                            <w:top w:val="none" w:sz="0" w:space="0" w:color="auto"/>
                            <w:left w:val="none" w:sz="0" w:space="0" w:color="auto"/>
                            <w:bottom w:val="none" w:sz="0" w:space="0" w:color="auto"/>
                            <w:right w:val="none" w:sz="0" w:space="0" w:color="auto"/>
                          </w:divBdr>
                        </w:div>
                      </w:divsChild>
                    </w:div>
                    <w:div w:id="632708874">
                      <w:marLeft w:val="0"/>
                      <w:marRight w:val="0"/>
                      <w:marTop w:val="0"/>
                      <w:marBottom w:val="360"/>
                      <w:divBdr>
                        <w:top w:val="none" w:sz="0" w:space="0" w:color="auto"/>
                        <w:left w:val="none" w:sz="0" w:space="0" w:color="auto"/>
                        <w:bottom w:val="none" w:sz="0" w:space="0" w:color="auto"/>
                        <w:right w:val="none" w:sz="0" w:space="0" w:color="auto"/>
                      </w:divBdr>
                      <w:divsChild>
                        <w:div w:id="1163936873">
                          <w:marLeft w:val="0"/>
                          <w:marRight w:val="0"/>
                          <w:marTop w:val="0"/>
                          <w:marBottom w:val="0"/>
                          <w:divBdr>
                            <w:top w:val="none" w:sz="0" w:space="0" w:color="auto"/>
                            <w:left w:val="none" w:sz="0" w:space="0" w:color="auto"/>
                            <w:bottom w:val="none" w:sz="0" w:space="0" w:color="auto"/>
                            <w:right w:val="none" w:sz="0" w:space="0" w:color="auto"/>
                          </w:divBdr>
                        </w:div>
                        <w:div w:id="145169878">
                          <w:marLeft w:val="0"/>
                          <w:marRight w:val="0"/>
                          <w:marTop w:val="0"/>
                          <w:marBottom w:val="0"/>
                          <w:divBdr>
                            <w:top w:val="none" w:sz="0" w:space="0" w:color="auto"/>
                            <w:left w:val="none" w:sz="0" w:space="0" w:color="auto"/>
                            <w:bottom w:val="none" w:sz="0" w:space="0" w:color="auto"/>
                            <w:right w:val="none" w:sz="0" w:space="0" w:color="auto"/>
                          </w:divBdr>
                        </w:div>
                      </w:divsChild>
                    </w:div>
                    <w:div w:id="209726897">
                      <w:marLeft w:val="0"/>
                      <w:marRight w:val="0"/>
                      <w:marTop w:val="0"/>
                      <w:marBottom w:val="360"/>
                      <w:divBdr>
                        <w:top w:val="none" w:sz="0" w:space="0" w:color="auto"/>
                        <w:left w:val="none" w:sz="0" w:space="0" w:color="auto"/>
                        <w:bottom w:val="none" w:sz="0" w:space="0" w:color="auto"/>
                        <w:right w:val="none" w:sz="0" w:space="0" w:color="auto"/>
                      </w:divBdr>
                      <w:divsChild>
                        <w:div w:id="469984916">
                          <w:marLeft w:val="0"/>
                          <w:marRight w:val="0"/>
                          <w:marTop w:val="0"/>
                          <w:marBottom w:val="0"/>
                          <w:divBdr>
                            <w:top w:val="none" w:sz="0" w:space="0" w:color="auto"/>
                            <w:left w:val="none" w:sz="0" w:space="0" w:color="auto"/>
                            <w:bottom w:val="none" w:sz="0" w:space="0" w:color="auto"/>
                            <w:right w:val="none" w:sz="0" w:space="0" w:color="auto"/>
                          </w:divBdr>
                        </w:div>
                        <w:div w:id="1514145596">
                          <w:marLeft w:val="0"/>
                          <w:marRight w:val="0"/>
                          <w:marTop w:val="0"/>
                          <w:marBottom w:val="0"/>
                          <w:divBdr>
                            <w:top w:val="none" w:sz="0" w:space="0" w:color="auto"/>
                            <w:left w:val="none" w:sz="0" w:space="0" w:color="auto"/>
                            <w:bottom w:val="none" w:sz="0" w:space="0" w:color="auto"/>
                            <w:right w:val="none" w:sz="0" w:space="0" w:color="auto"/>
                          </w:divBdr>
                        </w:div>
                      </w:divsChild>
                    </w:div>
                    <w:div w:id="750856166">
                      <w:marLeft w:val="0"/>
                      <w:marRight w:val="0"/>
                      <w:marTop w:val="0"/>
                      <w:marBottom w:val="360"/>
                      <w:divBdr>
                        <w:top w:val="none" w:sz="0" w:space="0" w:color="auto"/>
                        <w:left w:val="none" w:sz="0" w:space="0" w:color="auto"/>
                        <w:bottom w:val="none" w:sz="0" w:space="0" w:color="auto"/>
                        <w:right w:val="none" w:sz="0" w:space="0" w:color="auto"/>
                      </w:divBdr>
                      <w:divsChild>
                        <w:div w:id="1905093673">
                          <w:marLeft w:val="0"/>
                          <w:marRight w:val="0"/>
                          <w:marTop w:val="0"/>
                          <w:marBottom w:val="0"/>
                          <w:divBdr>
                            <w:top w:val="none" w:sz="0" w:space="0" w:color="auto"/>
                            <w:left w:val="none" w:sz="0" w:space="0" w:color="auto"/>
                            <w:bottom w:val="none" w:sz="0" w:space="0" w:color="auto"/>
                            <w:right w:val="none" w:sz="0" w:space="0" w:color="auto"/>
                          </w:divBdr>
                        </w:div>
                        <w:div w:id="3893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portal/desktop/en/opportunities/h2020/index.html" TargetMode="External"/><Relationship Id="rId13" Type="http://schemas.openxmlformats.org/officeDocument/2006/relationships/hyperlink" Target="https://twitter.com/MSCActions" TargetMode="External"/><Relationship Id="rId3" Type="http://schemas.openxmlformats.org/officeDocument/2006/relationships/settings" Target="settings.xml"/><Relationship Id="rId7" Type="http://schemas.openxmlformats.org/officeDocument/2006/relationships/hyperlink" Target="http://ec.europa.eu/rea/index_en.htm" TargetMode="External"/><Relationship Id="rId12" Type="http://schemas.openxmlformats.org/officeDocument/2006/relationships/hyperlink" Target="https://www.facebook.com/Marie.Curie.Ac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europa.eu/index_en.htm" TargetMode="External"/><Relationship Id="rId11" Type="http://schemas.openxmlformats.org/officeDocument/2006/relationships/hyperlink" Target="http://ec.europa.eu/msca" TargetMode="External"/><Relationship Id="rId5" Type="http://schemas.openxmlformats.org/officeDocument/2006/relationships/hyperlink" Target="http://ec.europa.eu/research/participants/portal/desktop/en/home.html" TargetMode="External"/><Relationship Id="rId15" Type="http://schemas.openxmlformats.org/officeDocument/2006/relationships/theme" Target="theme/theme1.xml"/><Relationship Id="rId10" Type="http://schemas.openxmlformats.org/officeDocument/2006/relationships/hyperlink" Target="http://ec.europa.eu/research/mariecurieactions/apply-now/open-calls/index_en.htm" TargetMode="External"/><Relationship Id="rId4" Type="http://schemas.openxmlformats.org/officeDocument/2006/relationships/webSettings" Target="webSettings.xml"/><Relationship Id="rId9" Type="http://schemas.openxmlformats.org/officeDocument/2006/relationships/hyperlink" Target="http://ec.europa.eu/research/mariecurieactions/funded-projects/how-to-manage/index_en.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Meerim</dc:creator>
  <cp:lastModifiedBy>Meerim</cp:lastModifiedBy>
  <cp:revision>1</cp:revision>
  <dcterms:created xsi:type="dcterms:W3CDTF">2021-04-19T10:40:00Z</dcterms:created>
  <dcterms:modified xsi:type="dcterms:W3CDTF">2021-04-19T10:40:00Z</dcterms:modified>
</cp:coreProperties>
</file>